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708" w:rsidRPr="0037047F" w:rsidRDefault="00DE4708" w:rsidP="00DE4708">
      <w:pPr>
        <w:pStyle w:val="Heading1"/>
        <w:spacing w:after="0"/>
        <w:jc w:val="center"/>
        <w:rPr>
          <w:color w:val="auto"/>
          <w:lang w:val="fr-FR"/>
        </w:rPr>
      </w:pPr>
      <w:bookmarkStart w:id="0" w:name="_GoBack"/>
      <w:bookmarkEnd w:id="0"/>
      <w:r w:rsidRPr="0037047F">
        <w:rPr>
          <w:color w:val="auto"/>
          <w:lang w:val="fr-FR"/>
        </w:rPr>
        <w:t>Sri Lanka National Mine Action Center (NMAC)</w:t>
      </w:r>
    </w:p>
    <w:p w:rsidR="00DE4708" w:rsidRDefault="00DE4708" w:rsidP="00DE4708">
      <w:pPr>
        <w:pStyle w:val="Heading1"/>
        <w:spacing w:before="0"/>
        <w:jc w:val="center"/>
        <w:rPr>
          <w:color w:val="auto"/>
        </w:rPr>
      </w:pPr>
      <w:r w:rsidRPr="0037047F">
        <w:rPr>
          <w:color w:val="auto"/>
        </w:rPr>
        <w:t>Resource Mobilization Action Plan Highlights</w:t>
      </w:r>
    </w:p>
    <w:p w:rsidR="0037047F" w:rsidRPr="0037047F" w:rsidRDefault="00140BDB" w:rsidP="0037047F">
      <w:pPr>
        <w:jc w:val="center"/>
      </w:pPr>
      <w:r>
        <w:t>G</w:t>
      </w:r>
      <w:r>
        <w:rPr>
          <w:lang w:val="en-GB"/>
        </w:rPr>
        <w:t>I</w:t>
      </w:r>
      <w:r>
        <w:t>CHD -</w:t>
      </w:r>
      <w:r w:rsidR="0037047F">
        <w:t xml:space="preserve"> Colombo February 2016</w:t>
      </w:r>
    </w:p>
    <w:p w:rsidR="00F27B34" w:rsidRPr="00E86182" w:rsidRDefault="00F27B34" w:rsidP="00F27B34">
      <w:pPr>
        <w:pStyle w:val="ListParagraph"/>
        <w:numPr>
          <w:ilvl w:val="0"/>
          <w:numId w:val="10"/>
        </w:numPr>
        <w:rPr>
          <w:b/>
        </w:rPr>
      </w:pPr>
      <w:r w:rsidRPr="00E86182">
        <w:rPr>
          <w:b/>
        </w:rPr>
        <w:t>Executive Summary</w:t>
      </w:r>
    </w:p>
    <w:p w:rsidR="00C949AF" w:rsidRPr="00E86182" w:rsidRDefault="00C949AF" w:rsidP="00E86182">
      <w:r w:rsidRPr="00E86182">
        <w:t xml:space="preserve">The Resource Mobilization Action Plan developed during a four-day workshop organized jointly by the Sri Lanka National Mine Action Centre (NMAC) and the Geneva International Centre for Humanitarian Demining (GICHD) </w:t>
      </w:r>
      <w:r w:rsidR="00F4169A" w:rsidRPr="00E86182">
        <w:t xml:space="preserve">focused on three core areas of 1) coordination, 2) communication and 3) NMAC resources/ capacity and </w:t>
      </w:r>
      <w:r w:rsidRPr="00E86182">
        <w:t>cove</w:t>
      </w:r>
      <w:r w:rsidR="00F4169A" w:rsidRPr="00E86182">
        <w:t>red</w:t>
      </w:r>
      <w:r w:rsidR="008611B1" w:rsidRPr="00E86182">
        <w:t>the</w:t>
      </w:r>
      <w:r w:rsidRPr="00E86182">
        <w:t xml:space="preserve"> national strategic objectives</w:t>
      </w:r>
      <w:r w:rsidR="008611B1" w:rsidRPr="00E86182">
        <w:t xml:space="preserve"> from the new strategic plan</w:t>
      </w:r>
      <w:r w:rsidRPr="00E86182">
        <w:t>.</w:t>
      </w:r>
      <w:r w:rsidR="00F4169A" w:rsidRPr="00E86182">
        <w:t xml:space="preserve"> The workshop was followed by bilateral meetings in Colombo and Geneva between the NMAC and GICHD to complete the action plan</w:t>
      </w:r>
      <w:r w:rsidR="008611B1" w:rsidRPr="00E86182">
        <w:t xml:space="preserve"> initiated during the workshop</w:t>
      </w:r>
      <w:r w:rsidR="00F4169A" w:rsidRPr="00E86182">
        <w:t>. The action</w:t>
      </w:r>
      <w:r w:rsidR="008611B1" w:rsidRPr="00E86182">
        <w:t xml:space="preserve"> plan is a tool for the NMAC</w:t>
      </w:r>
      <w:r w:rsidR="00E86182">
        <w:t xml:space="preserve"> to </w:t>
      </w:r>
      <w:r w:rsidR="008611B1" w:rsidRPr="00E86182">
        <w:t xml:space="preserve">address the lack of resources needed to </w:t>
      </w:r>
      <w:r w:rsidR="0052706F">
        <w:t xml:space="preserve">fulfil the objective to </w:t>
      </w:r>
      <w:r w:rsidR="00140BDB">
        <w:t xml:space="preserve">achieve a mine/ERW impact free situation </w:t>
      </w:r>
      <w:r w:rsidR="008611B1" w:rsidRPr="00E86182">
        <w:t xml:space="preserve">by 2020. </w:t>
      </w:r>
    </w:p>
    <w:p w:rsidR="00F27B34" w:rsidRPr="0037047F" w:rsidRDefault="00F27B34" w:rsidP="00F27B34">
      <w:pPr>
        <w:pStyle w:val="ListParagraph"/>
        <w:numPr>
          <w:ilvl w:val="0"/>
          <w:numId w:val="10"/>
        </w:numPr>
        <w:rPr>
          <w:b/>
        </w:rPr>
      </w:pPr>
      <w:r w:rsidRPr="0037047F">
        <w:rPr>
          <w:b/>
        </w:rPr>
        <w:t>Institutional Description</w:t>
      </w:r>
    </w:p>
    <w:p w:rsidR="0037047F" w:rsidRPr="00570107" w:rsidRDefault="0037047F" w:rsidP="00570107">
      <w:pPr>
        <w:spacing w:after="0"/>
        <w:jc w:val="both"/>
        <w:rPr>
          <w:rFonts w:cs="Arial"/>
          <w:u w:val="single"/>
          <w:lang w:eastAsia="fr-FR"/>
        </w:rPr>
      </w:pPr>
      <w:r w:rsidRPr="00570107">
        <w:rPr>
          <w:rFonts w:cs="Arial"/>
          <w:u w:val="single"/>
          <w:lang w:eastAsia="fr-FR"/>
        </w:rPr>
        <w:t>Mine Action Centr</w:t>
      </w:r>
      <w:r w:rsidR="007C0983">
        <w:rPr>
          <w:rFonts w:cs="Arial"/>
          <w:u w:val="single"/>
          <w:lang w:eastAsia="fr-FR"/>
        </w:rPr>
        <w:t>e</w:t>
      </w:r>
    </w:p>
    <w:p w:rsidR="0037047F" w:rsidRPr="0080260F" w:rsidRDefault="0037047F" w:rsidP="0037047F">
      <w:pPr>
        <w:jc w:val="both"/>
        <w:rPr>
          <w:rStyle w:val="FootnoteReference"/>
          <w:rFonts w:cs="Arial"/>
          <w:bCs/>
          <w:caps/>
        </w:rPr>
      </w:pPr>
      <w:r>
        <w:rPr>
          <w:rFonts w:cs="Arial"/>
          <w:lang w:eastAsia="fr-FR"/>
        </w:rPr>
        <w:t>As a result of the change of government early 2015 the</w:t>
      </w:r>
      <w:r w:rsidRPr="0080260F">
        <w:rPr>
          <w:rFonts w:cs="Arial"/>
          <w:lang w:eastAsia="fr-FR"/>
        </w:rPr>
        <w:t xml:space="preserve"> two mine action-related </w:t>
      </w:r>
      <w:r>
        <w:rPr>
          <w:rFonts w:cs="Arial"/>
          <w:lang w:eastAsia="fr-FR"/>
        </w:rPr>
        <w:t>programmes</w:t>
      </w:r>
      <w:r w:rsidRPr="0080260F">
        <w:rPr>
          <w:rFonts w:cs="Arial"/>
          <w:lang w:eastAsia="fr-FR"/>
        </w:rPr>
        <w:t xml:space="preserve">‘Mine Risk Education’ and ‘Supporting Demining for Civilians’ </w:t>
      </w:r>
      <w:r>
        <w:rPr>
          <w:rFonts w:cs="Arial"/>
          <w:lang w:eastAsia="fr-FR"/>
        </w:rPr>
        <w:t>w</w:t>
      </w:r>
      <w:r w:rsidR="00AE7946">
        <w:rPr>
          <w:rFonts w:cs="Arial"/>
          <w:lang w:eastAsia="fr-FR"/>
        </w:rPr>
        <w:t>ere</w:t>
      </w:r>
      <w:r w:rsidRPr="0080260F">
        <w:rPr>
          <w:rFonts w:cs="Arial"/>
          <w:lang w:eastAsia="fr-FR"/>
        </w:rPr>
        <w:t xml:space="preserve"> assigned to the newly</w:t>
      </w:r>
      <w:r>
        <w:rPr>
          <w:rFonts w:cs="Arial"/>
          <w:lang w:eastAsia="fr-FR"/>
        </w:rPr>
        <w:t>-</w:t>
      </w:r>
      <w:r w:rsidRPr="0080260F">
        <w:rPr>
          <w:rFonts w:cs="Arial"/>
          <w:lang w:eastAsia="fr-FR"/>
        </w:rPr>
        <w:t xml:space="preserve">established Ministry of </w:t>
      </w:r>
      <w:r>
        <w:rPr>
          <w:rFonts w:cs="Arial"/>
          <w:lang w:eastAsia="fr-FR"/>
        </w:rPr>
        <w:t>Prison Reform</w:t>
      </w:r>
      <w:r w:rsidR="00AE7946">
        <w:rPr>
          <w:rFonts w:cs="Arial"/>
          <w:lang w:eastAsia="fr-FR"/>
        </w:rPr>
        <w:t>s</w:t>
      </w:r>
      <w:r>
        <w:rPr>
          <w:rFonts w:cs="Arial"/>
          <w:lang w:eastAsia="fr-FR"/>
        </w:rPr>
        <w:t xml:space="preserve">, </w:t>
      </w:r>
      <w:r w:rsidR="00AE7946">
        <w:rPr>
          <w:rFonts w:cs="Arial"/>
          <w:lang w:eastAsia="fr-FR"/>
        </w:rPr>
        <w:t xml:space="preserve">Rehabilitation, </w:t>
      </w:r>
      <w:r w:rsidRPr="0080260F">
        <w:rPr>
          <w:rFonts w:cs="Arial"/>
          <w:lang w:eastAsia="fr-FR"/>
        </w:rPr>
        <w:t>Resettlement and Hindu Religious Affairs (MoRRHRA).</w:t>
      </w:r>
      <w:r w:rsidRPr="0080260F">
        <w:rPr>
          <w:rStyle w:val="FootnoteReference"/>
          <w:rFonts w:cs="Arial"/>
        </w:rPr>
        <w:footnoteReference w:id="2"/>
      </w:r>
      <w:r>
        <w:rPr>
          <w:rFonts w:cs="Arial"/>
          <w:lang w:eastAsia="fr-FR"/>
        </w:rPr>
        <w:t xml:space="preserve"> De facto the Sri Lanka national mine action responsibilities migrated under</w:t>
      </w:r>
      <w:r w:rsidR="00570107">
        <w:rPr>
          <w:rFonts w:cs="Arial"/>
          <w:lang w:eastAsia="fr-FR"/>
        </w:rPr>
        <w:t xml:space="preserve"> the wings of this new ministry in March 2016. The National Mine Action Centre (NMAC) is headed part time by an </w:t>
      </w:r>
      <w:r w:rsidR="00AE7946">
        <w:rPr>
          <w:rFonts w:cs="Arial"/>
          <w:lang w:eastAsia="fr-FR"/>
        </w:rPr>
        <w:t>A</w:t>
      </w:r>
      <w:r w:rsidR="00570107">
        <w:rPr>
          <w:rFonts w:cs="Arial"/>
          <w:lang w:eastAsia="fr-FR"/>
        </w:rPr>
        <w:t>dditional Secretary</w:t>
      </w:r>
      <w:r w:rsidR="00AD6621">
        <w:rPr>
          <w:rFonts w:cs="Arial"/>
          <w:lang w:eastAsia="fr-FR"/>
        </w:rPr>
        <w:t xml:space="preserve"> acting as Director</w:t>
      </w:r>
      <w:r w:rsidR="00570107">
        <w:rPr>
          <w:rFonts w:cs="Arial"/>
          <w:lang w:eastAsia="fr-FR"/>
        </w:rPr>
        <w:t xml:space="preserve"> and staffed with one </w:t>
      </w:r>
      <w:r w:rsidR="00AE7946">
        <w:rPr>
          <w:rFonts w:cs="Arial"/>
          <w:lang w:eastAsia="fr-FR"/>
        </w:rPr>
        <w:t>A</w:t>
      </w:r>
      <w:r w:rsidR="00570107">
        <w:rPr>
          <w:rFonts w:cs="Arial"/>
          <w:lang w:eastAsia="fr-FR"/>
        </w:rPr>
        <w:t xml:space="preserve">ssistant Director, one </w:t>
      </w:r>
      <w:r w:rsidR="00AE7946">
        <w:rPr>
          <w:rFonts w:cs="Arial"/>
          <w:lang w:eastAsia="fr-FR"/>
        </w:rPr>
        <w:t>Senior I</w:t>
      </w:r>
      <w:r w:rsidR="00570107">
        <w:rPr>
          <w:rFonts w:cs="Arial"/>
          <w:lang w:eastAsia="fr-FR"/>
        </w:rPr>
        <w:t xml:space="preserve">nformation </w:t>
      </w:r>
      <w:r w:rsidR="00AE7946">
        <w:rPr>
          <w:rFonts w:cs="Arial"/>
          <w:lang w:eastAsia="fr-FR"/>
        </w:rPr>
        <w:t>M</w:t>
      </w:r>
      <w:r w:rsidR="00570107">
        <w:rPr>
          <w:rFonts w:cs="Arial"/>
          <w:lang w:eastAsia="fr-FR"/>
        </w:rPr>
        <w:t xml:space="preserve">anagement </w:t>
      </w:r>
      <w:r w:rsidR="00AE7946">
        <w:rPr>
          <w:rFonts w:cs="Arial"/>
          <w:lang w:eastAsia="fr-FR"/>
        </w:rPr>
        <w:t>O</w:t>
      </w:r>
      <w:r w:rsidR="00570107">
        <w:rPr>
          <w:rFonts w:cs="Arial"/>
          <w:lang w:eastAsia="fr-FR"/>
        </w:rPr>
        <w:t xml:space="preserve">fficer, one </w:t>
      </w:r>
      <w:r w:rsidR="00AE7946">
        <w:rPr>
          <w:rFonts w:cs="Arial"/>
          <w:lang w:eastAsia="fr-FR"/>
        </w:rPr>
        <w:t>F</w:t>
      </w:r>
      <w:r w:rsidR="00570107">
        <w:rPr>
          <w:rFonts w:cs="Arial"/>
          <w:lang w:eastAsia="fr-FR"/>
        </w:rPr>
        <w:t xml:space="preserve">inance </w:t>
      </w:r>
      <w:r w:rsidR="00AE7946">
        <w:rPr>
          <w:rFonts w:cs="Arial"/>
          <w:lang w:eastAsia="fr-FR"/>
        </w:rPr>
        <w:t>O</w:t>
      </w:r>
      <w:r w:rsidR="00570107">
        <w:rPr>
          <w:rFonts w:cs="Arial"/>
          <w:lang w:eastAsia="fr-FR"/>
        </w:rPr>
        <w:t>fficer</w:t>
      </w:r>
      <w:r w:rsidR="00AE7946">
        <w:rPr>
          <w:rFonts w:cs="Arial"/>
          <w:lang w:eastAsia="fr-FR"/>
        </w:rPr>
        <w:t xml:space="preserve"> and one Administrative Officer</w:t>
      </w:r>
      <w:r w:rsidR="00570107">
        <w:rPr>
          <w:rFonts w:cs="Arial"/>
          <w:lang w:eastAsia="fr-FR"/>
        </w:rPr>
        <w:t>.</w:t>
      </w:r>
    </w:p>
    <w:p w:rsidR="0037047F" w:rsidRPr="00570107" w:rsidRDefault="0037047F" w:rsidP="00570107">
      <w:pPr>
        <w:pStyle w:val="Heading21"/>
        <w:spacing w:after="0"/>
        <w:rPr>
          <w:rFonts w:asciiTheme="minorHAnsi" w:hAnsiTheme="minorHAnsi" w:cs="Arial"/>
          <w:b w:val="0"/>
          <w:color w:val="auto"/>
          <w:sz w:val="22"/>
          <w:szCs w:val="22"/>
          <w:u w:val="single"/>
        </w:rPr>
      </w:pPr>
      <w:bookmarkStart w:id="1" w:name="_Toc438464672"/>
      <w:r w:rsidRPr="00570107">
        <w:rPr>
          <w:rFonts w:asciiTheme="minorHAnsi" w:hAnsiTheme="minorHAnsi" w:cs="Arial"/>
          <w:b w:val="0"/>
          <w:color w:val="auto"/>
          <w:sz w:val="22"/>
          <w:szCs w:val="22"/>
          <w:u w:val="single"/>
        </w:rPr>
        <w:t>Regional Mine Action Office</w:t>
      </w:r>
      <w:bookmarkEnd w:id="1"/>
    </w:p>
    <w:p w:rsidR="00570107" w:rsidRPr="00570107" w:rsidRDefault="0037047F" w:rsidP="006F053F">
      <w:pPr>
        <w:pStyle w:val="Heading3"/>
        <w:jc w:val="both"/>
        <w:rPr>
          <w:lang w:eastAsia="fr-FR"/>
        </w:rPr>
      </w:pPr>
      <w:bookmarkStart w:id="2" w:name="_Toc435386014"/>
      <w:r w:rsidRPr="0037047F">
        <w:rPr>
          <w:rFonts w:asciiTheme="minorHAnsi" w:hAnsiTheme="minorHAnsi" w:cs="Arial"/>
          <w:bCs/>
          <w:color w:val="auto"/>
          <w:sz w:val="22"/>
          <w:szCs w:val="22"/>
          <w:lang w:eastAsia="fr-FR"/>
        </w:rPr>
        <w:t>In 2015 the mine action programme had one RMAO in Kilinochchi. This was a reduction from several Regional and District Mine Action Offices in most mine-affected districts (i.e. in 2010: Jaffna RMAO, Vavuniya RMAO and a small Batticaloa RMAO; sub-offices in Kilinochchi, Mannar, Mullaitivu, and Trincomalee).</w:t>
      </w:r>
      <w:bookmarkEnd w:id="2"/>
      <w:r w:rsidR="00570107">
        <w:rPr>
          <w:rFonts w:asciiTheme="minorHAnsi" w:hAnsiTheme="minorHAnsi" w:cs="Arial"/>
          <w:bCs/>
          <w:color w:val="auto"/>
          <w:sz w:val="22"/>
          <w:szCs w:val="22"/>
          <w:lang w:eastAsia="fr-FR"/>
        </w:rPr>
        <w:t xml:space="preserve"> The RMAO represents the NMAC at regional level and is staffed as follows: </w:t>
      </w:r>
      <w:r w:rsidR="00652BDF">
        <w:rPr>
          <w:rFonts w:asciiTheme="minorHAnsi" w:hAnsiTheme="minorHAnsi" w:cs="Arial"/>
          <w:bCs/>
          <w:color w:val="auto"/>
          <w:sz w:val="22"/>
          <w:szCs w:val="22"/>
          <w:lang w:eastAsia="fr-FR"/>
        </w:rPr>
        <w:t>One Regional Mine Action Officer, one Senior Operations Officer, eight Quality Assurance Officers, four Information Management Officers and one Administrative Officer.</w:t>
      </w:r>
    </w:p>
    <w:p w:rsidR="0037047F" w:rsidRDefault="0037047F" w:rsidP="00570107">
      <w:pPr>
        <w:spacing w:after="0"/>
        <w:rPr>
          <w:u w:val="single"/>
          <w:lang w:eastAsia="fr-FR"/>
        </w:rPr>
      </w:pPr>
      <w:r w:rsidRPr="00570107">
        <w:rPr>
          <w:u w:val="single"/>
          <w:lang w:eastAsia="fr-FR"/>
        </w:rPr>
        <w:t>Operators and Stakeholders</w:t>
      </w:r>
    </w:p>
    <w:p w:rsidR="005E2333" w:rsidRPr="00570107" w:rsidRDefault="005E2333" w:rsidP="00570107">
      <w:pPr>
        <w:spacing w:after="0"/>
        <w:rPr>
          <w:u w:val="single"/>
          <w:lang w:eastAsia="fr-FR"/>
        </w:rPr>
      </w:pPr>
    </w:p>
    <w:p w:rsidR="00F1573C" w:rsidRDefault="00570107" w:rsidP="00F1573C">
      <w:r w:rsidRPr="005E2333">
        <w:t xml:space="preserve">Humanitarian demining deployment: </w:t>
      </w:r>
      <w:r w:rsidR="00AE7946">
        <w:t>Two</w:t>
      </w:r>
      <w:r>
        <w:t xml:space="preserve"> international operators (The Halo Trust, MAG), one national operator (</w:t>
      </w:r>
      <w:r w:rsidR="0095320D">
        <w:t>DASH) and the military engineers HD units. One more national operator has not yet deployed for lack of resources (SHARP).</w:t>
      </w:r>
    </w:p>
    <w:p w:rsidR="0095320D" w:rsidRDefault="0095320D" w:rsidP="00F1573C">
      <w:r>
        <w:lastRenderedPageBreak/>
        <w:t xml:space="preserve">Mine Risk Education: UNICEF is financing and monitoring local </w:t>
      </w:r>
      <w:r w:rsidR="00324201">
        <w:t>organizations</w:t>
      </w:r>
      <w:r>
        <w:t xml:space="preserve"> involved and working closely with the Ministry of Education.</w:t>
      </w:r>
    </w:p>
    <w:p w:rsidR="0095320D" w:rsidRDefault="0095320D" w:rsidP="00F1573C">
      <w:r>
        <w:t>Victim Assistance: Handicap International and ICRC are the most prominent support</w:t>
      </w:r>
      <w:r w:rsidR="00B63E64">
        <w:t>ers</w:t>
      </w:r>
      <w:r>
        <w:t xml:space="preserve"> to </w:t>
      </w:r>
      <w:r w:rsidR="007977EC">
        <w:t>mine vic</w:t>
      </w:r>
      <w:r>
        <w:t>tims</w:t>
      </w:r>
      <w:r w:rsidR="00B63E64">
        <w:t>.They are</w:t>
      </w:r>
      <w:r>
        <w:t xml:space="preserve"> working closely with the Ministries of Health and Social Security. Several orthopedic centre</w:t>
      </w:r>
      <w:r w:rsidR="00B63E64">
        <w:t>s</w:t>
      </w:r>
      <w:r>
        <w:t xml:space="preserve"> operate in the most affected areas.</w:t>
      </w:r>
    </w:p>
    <w:p w:rsidR="000476A4" w:rsidRDefault="000476A4" w:rsidP="00F1573C">
      <w:r>
        <w:t>Advocacy: ICBL and ICRC are leading the advocacy work.</w:t>
      </w:r>
    </w:p>
    <w:p w:rsidR="00E86182" w:rsidRDefault="00E86182" w:rsidP="00F1573C">
      <w:r>
        <w:t xml:space="preserve">Several national organisations are also involved  locally in victim assistance work such as </w:t>
      </w:r>
      <w:r w:rsidR="000967BA">
        <w:t xml:space="preserve">among others </w:t>
      </w:r>
      <w:r>
        <w:t>the local NGO Caritas a faith based organisation.</w:t>
      </w:r>
    </w:p>
    <w:p w:rsidR="00F27B34" w:rsidRPr="0037047F" w:rsidRDefault="00F27B34" w:rsidP="00F27B34">
      <w:pPr>
        <w:pStyle w:val="ListParagraph"/>
        <w:numPr>
          <w:ilvl w:val="0"/>
          <w:numId w:val="10"/>
        </w:numPr>
        <w:rPr>
          <w:b/>
        </w:rPr>
      </w:pPr>
      <w:r w:rsidRPr="0037047F">
        <w:rPr>
          <w:b/>
        </w:rPr>
        <w:t xml:space="preserve">Mission, Vision, Strategic Objectives </w:t>
      </w:r>
    </w:p>
    <w:p w:rsidR="0037047F" w:rsidRPr="00570107" w:rsidRDefault="0037047F" w:rsidP="00570107">
      <w:pPr>
        <w:spacing w:after="0"/>
        <w:jc w:val="both"/>
        <w:rPr>
          <w:rFonts w:cs="Arial"/>
          <w:u w:val="single"/>
        </w:rPr>
      </w:pPr>
      <w:r w:rsidRPr="00570107">
        <w:rPr>
          <w:rFonts w:cs="Arial"/>
          <w:u w:val="single"/>
        </w:rPr>
        <w:t>Vision</w:t>
      </w:r>
    </w:p>
    <w:p w:rsidR="00F1573C" w:rsidRPr="0080260F" w:rsidRDefault="00F1573C" w:rsidP="00F1573C">
      <w:pPr>
        <w:jc w:val="both"/>
        <w:rPr>
          <w:rFonts w:cs="Arial"/>
        </w:rPr>
      </w:pPr>
      <w:r w:rsidRPr="0080260F">
        <w:rPr>
          <w:rFonts w:cs="Arial"/>
        </w:rPr>
        <w:t xml:space="preserve">Sri Lanka is free from the threat of landmines and explosive remnants of war (ERW), enabling women, girls, boys and men to live in a safe environment where the needs of mine/ERW victims are met. </w:t>
      </w:r>
    </w:p>
    <w:p w:rsidR="0037047F" w:rsidRPr="00964FF0" w:rsidRDefault="0037047F" w:rsidP="00570107">
      <w:pPr>
        <w:spacing w:after="0"/>
        <w:jc w:val="both"/>
        <w:rPr>
          <w:rFonts w:cs="Arial"/>
          <w:u w:val="single"/>
        </w:rPr>
      </w:pPr>
      <w:r w:rsidRPr="00964FF0">
        <w:rPr>
          <w:rFonts w:cs="Arial"/>
          <w:u w:val="single"/>
        </w:rPr>
        <w:t>Mission</w:t>
      </w:r>
    </w:p>
    <w:p w:rsidR="00F1573C" w:rsidRDefault="00F1573C" w:rsidP="00F1573C">
      <w:pPr>
        <w:jc w:val="both"/>
        <w:rPr>
          <w:rFonts w:cs="Arial"/>
        </w:rPr>
      </w:pPr>
      <w:r w:rsidRPr="0080260F">
        <w:rPr>
          <w:rFonts w:cs="Arial"/>
        </w:rPr>
        <w:t xml:space="preserve">To further develop a sustainable national mine action programme capable of planning, coordinating, implementing and monitoring all aspects of mine action, and mobilising required resources to make Sri Lanka free from the threat of mines/ERW through elimination, threat prevention and education, in accordance with Sri Lanka National Mine Action Standards (SLNMAS). </w:t>
      </w:r>
    </w:p>
    <w:p w:rsidR="0037047F" w:rsidRPr="00964FF0" w:rsidRDefault="0037047F" w:rsidP="00570107">
      <w:pPr>
        <w:spacing w:after="0"/>
        <w:jc w:val="both"/>
        <w:rPr>
          <w:rFonts w:cs="Arial"/>
          <w:u w:val="single"/>
        </w:rPr>
      </w:pPr>
      <w:r w:rsidRPr="00964FF0">
        <w:rPr>
          <w:rFonts w:cs="Arial"/>
          <w:u w:val="single"/>
        </w:rPr>
        <w:t xml:space="preserve">Strategic Objectives </w:t>
      </w:r>
    </w:p>
    <w:p w:rsidR="00F1573C" w:rsidRPr="0080260F" w:rsidRDefault="00F1573C" w:rsidP="0037047F">
      <w:pPr>
        <w:pStyle w:val="ListParagraph"/>
        <w:numPr>
          <w:ilvl w:val="0"/>
          <w:numId w:val="12"/>
        </w:numPr>
        <w:spacing w:after="0" w:line="240" w:lineRule="auto"/>
        <w:jc w:val="both"/>
        <w:rPr>
          <w:rFonts w:cs="Arial"/>
        </w:rPr>
      </w:pPr>
      <w:r>
        <w:rPr>
          <w:rFonts w:cs="Arial"/>
        </w:rPr>
        <w:t>S</w:t>
      </w:r>
      <w:r w:rsidRPr="0080260F">
        <w:rPr>
          <w:rFonts w:cs="Arial"/>
        </w:rPr>
        <w:t xml:space="preserve">cope of the mine/ERW problem including location, size, type and related challenges, is identified, confirmed and addressed using appropriate methodologies and resources.  </w:t>
      </w:r>
    </w:p>
    <w:p w:rsidR="00F1573C" w:rsidRPr="0080260F" w:rsidRDefault="00F1573C" w:rsidP="0037047F">
      <w:pPr>
        <w:pStyle w:val="ListParagraph"/>
        <w:numPr>
          <w:ilvl w:val="0"/>
          <w:numId w:val="12"/>
        </w:numPr>
        <w:spacing w:after="0" w:line="240" w:lineRule="auto"/>
        <w:jc w:val="both"/>
        <w:rPr>
          <w:rFonts w:cs="Arial"/>
        </w:rPr>
      </w:pPr>
      <w:r w:rsidRPr="0080260F">
        <w:rPr>
          <w:rFonts w:cs="Arial"/>
        </w:rPr>
        <w:t xml:space="preserve">Mine/ERW safe </w:t>
      </w:r>
      <w:r w:rsidR="0037047F" w:rsidRPr="0080260F">
        <w:rPr>
          <w:rFonts w:cs="Arial"/>
        </w:rPr>
        <w:t>behavior</w:t>
      </w:r>
      <w:r w:rsidRPr="0080260F">
        <w:rPr>
          <w:rFonts w:cs="Arial"/>
        </w:rPr>
        <w:t xml:space="preserve"> among women, girls, boys and men is promoted</w:t>
      </w:r>
      <w:r>
        <w:rPr>
          <w:rFonts w:cs="Arial"/>
        </w:rPr>
        <w:t>.</w:t>
      </w:r>
    </w:p>
    <w:p w:rsidR="00F1573C" w:rsidRPr="0080260F" w:rsidRDefault="00F1573C" w:rsidP="0037047F">
      <w:pPr>
        <w:pStyle w:val="ListParagraph"/>
        <w:numPr>
          <w:ilvl w:val="0"/>
          <w:numId w:val="12"/>
        </w:numPr>
        <w:spacing w:after="0" w:line="240" w:lineRule="auto"/>
        <w:jc w:val="both"/>
        <w:rPr>
          <w:rFonts w:cs="Arial"/>
        </w:rPr>
      </w:pPr>
      <w:r>
        <w:rPr>
          <w:rFonts w:cs="Arial"/>
        </w:rPr>
        <w:t>N</w:t>
      </w:r>
      <w:r w:rsidRPr="0080260F">
        <w:rPr>
          <w:rFonts w:cs="Arial"/>
        </w:rPr>
        <w:t>eeds of mine/ ERW victims are determined and met and victims are integrated into the society.</w:t>
      </w:r>
    </w:p>
    <w:p w:rsidR="00F1573C" w:rsidRPr="0080260F" w:rsidRDefault="00F1573C" w:rsidP="0037047F">
      <w:pPr>
        <w:pStyle w:val="ListParagraph"/>
        <w:numPr>
          <w:ilvl w:val="0"/>
          <w:numId w:val="12"/>
        </w:numPr>
        <w:spacing w:after="0" w:line="240" w:lineRule="auto"/>
        <w:jc w:val="both"/>
        <w:rPr>
          <w:rFonts w:cs="Arial"/>
        </w:rPr>
      </w:pPr>
      <w:r w:rsidRPr="0080260F">
        <w:rPr>
          <w:rFonts w:cs="Arial"/>
        </w:rPr>
        <w:t>Sri Lanka accedes to the APMBC and complies with relevant obligations</w:t>
      </w:r>
      <w:r>
        <w:rPr>
          <w:rFonts w:cs="Arial"/>
        </w:rPr>
        <w:t>.</w:t>
      </w:r>
    </w:p>
    <w:p w:rsidR="00F1573C" w:rsidRDefault="00F1573C" w:rsidP="0037047F">
      <w:pPr>
        <w:pStyle w:val="ListParagraph"/>
        <w:numPr>
          <w:ilvl w:val="0"/>
          <w:numId w:val="12"/>
        </w:numPr>
        <w:spacing w:after="0" w:line="240" w:lineRule="auto"/>
        <w:jc w:val="both"/>
        <w:rPr>
          <w:rFonts w:cs="Arial"/>
        </w:rPr>
      </w:pPr>
      <w:r w:rsidRPr="0080260F">
        <w:rPr>
          <w:rFonts w:cs="Arial"/>
        </w:rPr>
        <w:t xml:space="preserve">Long-term residual contamination is managed </w:t>
      </w:r>
      <w:r>
        <w:rPr>
          <w:rFonts w:cs="Arial"/>
        </w:rPr>
        <w:t>by</w:t>
      </w:r>
      <w:r w:rsidRPr="0080260F">
        <w:rPr>
          <w:rFonts w:cs="Arial"/>
        </w:rPr>
        <w:t xml:space="preserve"> sustainable national capacities.</w:t>
      </w:r>
    </w:p>
    <w:p w:rsidR="00F1573C" w:rsidRDefault="00F1573C" w:rsidP="0037047F">
      <w:pPr>
        <w:pStyle w:val="ListParagraph"/>
        <w:numPr>
          <w:ilvl w:val="0"/>
          <w:numId w:val="12"/>
        </w:numPr>
        <w:spacing w:after="0" w:line="240" w:lineRule="auto"/>
        <w:jc w:val="both"/>
        <w:rPr>
          <w:rFonts w:cs="Arial"/>
        </w:rPr>
      </w:pPr>
      <w:r w:rsidRPr="0003706F">
        <w:rPr>
          <w:rFonts w:cs="Arial"/>
        </w:rPr>
        <w:t>Sri Lanka mine action sector can access good quality information for its strategic and operational decision-making</w:t>
      </w:r>
    </w:p>
    <w:p w:rsidR="0037047F" w:rsidRPr="0037047F" w:rsidRDefault="0037047F" w:rsidP="0037047F">
      <w:pPr>
        <w:spacing w:after="0" w:line="240" w:lineRule="auto"/>
        <w:jc w:val="both"/>
        <w:rPr>
          <w:rFonts w:cs="Arial"/>
        </w:rPr>
      </w:pPr>
    </w:p>
    <w:p w:rsidR="00F27B34" w:rsidRPr="0037047F" w:rsidRDefault="00F27B34" w:rsidP="0037047F">
      <w:pPr>
        <w:pStyle w:val="ListParagraph"/>
        <w:numPr>
          <w:ilvl w:val="0"/>
          <w:numId w:val="10"/>
        </w:numPr>
        <w:rPr>
          <w:b/>
        </w:rPr>
      </w:pPr>
      <w:r w:rsidRPr="0037047F">
        <w:rPr>
          <w:b/>
        </w:rPr>
        <w:t>Context for Resource Mobili</w:t>
      </w:r>
      <w:r w:rsidR="00C7514F">
        <w:rPr>
          <w:b/>
        </w:rPr>
        <w:t>z</w:t>
      </w:r>
      <w:r w:rsidRPr="0037047F">
        <w:rPr>
          <w:b/>
        </w:rPr>
        <w:t>ation</w:t>
      </w:r>
    </w:p>
    <w:p w:rsidR="000967BA" w:rsidRPr="006F053F" w:rsidRDefault="000967BA" w:rsidP="00DE4708">
      <w:r>
        <w:t>With the change of government early 2015, the designation of a new line ministry to coordinate mine action and the nomination of a director</w:t>
      </w:r>
      <w:r w:rsidR="0052706F">
        <w:t xml:space="preserve">, the environment to address </w:t>
      </w:r>
      <w:r w:rsidR="00C5439E">
        <w:t>the land mine/ERW</w:t>
      </w:r>
      <w:r w:rsidR="0052706F">
        <w:t xml:space="preserve"> contamination has changed. A lot of work has been achieved but financial resources are not sufficient to complete the work in a short time frame. The mine action sector needs to be given more visibility and obtain more support at both national and international levels and the national mine action centre has a the leading role.</w:t>
      </w:r>
    </w:p>
    <w:p w:rsidR="00DE4708" w:rsidRDefault="00234C90" w:rsidP="00DE4708">
      <w:r>
        <w:t xml:space="preserve">In this context and </w:t>
      </w:r>
      <w:r w:rsidR="00DE4708">
        <w:t xml:space="preserve">a four-day Resource Mobilization workshop </w:t>
      </w:r>
      <w:r>
        <w:t xml:space="preserve">was </w:t>
      </w:r>
      <w:r w:rsidR="00DE4708">
        <w:t>organized by the Geneva International Centre for Humanitarian Demining (GICHD) in Colombo in late January 2016, a</w:t>
      </w:r>
      <w:r>
        <w:t>nd a</w:t>
      </w:r>
      <w:r w:rsidR="00DE4708">
        <w:t xml:space="preserve"> draft </w:t>
      </w:r>
      <w:r w:rsidR="00C26E34">
        <w:t xml:space="preserve">NMAC </w:t>
      </w:r>
      <w:r w:rsidR="00DE4708">
        <w:t>resource mobilization action plan developed. It focus</w:t>
      </w:r>
      <w:r w:rsidR="00C7514F">
        <w:t>ses</w:t>
      </w:r>
      <w:r w:rsidR="00DE4708">
        <w:t xml:space="preserve"> on the overarching issue</w:t>
      </w:r>
      <w:r w:rsidR="00F27B34">
        <w:t>s</w:t>
      </w:r>
      <w:r w:rsidR="00DE4708">
        <w:t xml:space="preserve"> of </w:t>
      </w:r>
      <w:r w:rsidR="00F27B34">
        <w:lastRenderedPageBreak/>
        <w:t>coordination, communications and</w:t>
      </w:r>
      <w:r w:rsidR="0085202D">
        <w:t xml:space="preserve">marketing </w:t>
      </w:r>
      <w:r w:rsidR="00DE4708">
        <w:t xml:space="preserve">as well as </w:t>
      </w:r>
      <w:r w:rsidR="00C7514F">
        <w:t xml:space="preserve">on </w:t>
      </w:r>
      <w:r w:rsidR="00DE4708">
        <w:t xml:space="preserve">three of the </w:t>
      </w:r>
      <w:r w:rsidR="0085202D">
        <w:t>six</w:t>
      </w:r>
      <w:r w:rsidR="00DE4708">
        <w:t xml:space="preserve"> strategic objectives from the draft Sri Lanka National Mi</w:t>
      </w:r>
      <w:r w:rsidR="0085202D">
        <w:t xml:space="preserve">ne Action Strategy, 2016 – 2020. </w:t>
      </w:r>
      <w:r w:rsidR="00DE4708">
        <w:t xml:space="preserve">The workshop was not able to address the last </w:t>
      </w:r>
      <w:r w:rsidR="00F27B34">
        <w:t>three</w:t>
      </w:r>
      <w:r w:rsidR="00DE4708">
        <w:t xml:space="preserve"> objectives or other overarching issues, discussed below, within the scheduled time </w:t>
      </w:r>
    </w:p>
    <w:p w:rsidR="00DE4708" w:rsidRDefault="00DE4708" w:rsidP="00DE4708">
      <w:r>
        <w:t xml:space="preserve">The resulting draft resource mobilization action plan was discussed in detail with the NMAC staff, including the NMAC </w:t>
      </w:r>
      <w:r w:rsidR="00C7514F">
        <w:t>D</w:t>
      </w:r>
      <w:r>
        <w:t>irector</w:t>
      </w:r>
      <w:r w:rsidR="0085202D">
        <w:t xml:space="preserve"> and finalized </w:t>
      </w:r>
      <w:r w:rsidR="00C7514F">
        <w:t xml:space="preserve">together </w:t>
      </w:r>
      <w:r w:rsidR="0085202D">
        <w:t xml:space="preserve">with the NMAC Directorand the IM Officer during their visit </w:t>
      </w:r>
      <w:r w:rsidR="00C7514F">
        <w:t xml:space="preserve">to </w:t>
      </w:r>
      <w:r w:rsidR="0085202D">
        <w:t>Geneva mid-February</w:t>
      </w:r>
      <w:r w:rsidR="00C26E34">
        <w:t xml:space="preserve"> 2016</w:t>
      </w:r>
      <w:r w:rsidR="00C7514F">
        <w:t>.A</w:t>
      </w:r>
      <w:r w:rsidR="00C26E34">
        <w:t xml:space="preserve">ll </w:t>
      </w:r>
      <w:r w:rsidR="00C7514F">
        <w:t xml:space="preserve">six </w:t>
      </w:r>
      <w:r w:rsidR="00C26E34">
        <w:t>strategic objective</w:t>
      </w:r>
      <w:r w:rsidR="00C7514F">
        <w:t>s</w:t>
      </w:r>
      <w:r w:rsidR="00C26E34">
        <w:t xml:space="preserve"> were covered</w:t>
      </w:r>
      <w:r w:rsidR="00C7514F">
        <w:t xml:space="preserve"> in the final plan</w:t>
      </w:r>
      <w:r w:rsidR="00C26E34">
        <w:t>.</w:t>
      </w:r>
    </w:p>
    <w:p w:rsidR="00DE4708" w:rsidRDefault="00DE4708" w:rsidP="00DE4708">
      <w:r>
        <w:t>Informing this draft action plan are numerous challenges and opportunities for the mine action sector in Sri Lanka, including:</w:t>
      </w:r>
    </w:p>
    <w:p w:rsidR="00DE4708" w:rsidRPr="00571049" w:rsidRDefault="00DE4708" w:rsidP="00DE4708">
      <w:pPr>
        <w:pStyle w:val="ListParagraph"/>
        <w:widowControl w:val="0"/>
        <w:numPr>
          <w:ilvl w:val="0"/>
          <w:numId w:val="3"/>
        </w:numPr>
        <w:spacing w:after="60" w:line="240" w:lineRule="auto"/>
        <w:contextualSpacing w:val="0"/>
        <w:jc w:val="both"/>
      </w:pPr>
      <w:r w:rsidRPr="00FA462F">
        <w:rPr>
          <w:rFonts w:eastAsiaTheme="minorEastAsia"/>
        </w:rPr>
        <w:t>Challenges</w:t>
      </w:r>
      <w:r>
        <w:rPr>
          <w:rFonts w:eastAsiaTheme="minorEastAsia"/>
        </w:rPr>
        <w:t>:</w:t>
      </w:r>
    </w:p>
    <w:p w:rsidR="00DE4708" w:rsidRPr="00571049" w:rsidRDefault="00DE4708" w:rsidP="00DE4708">
      <w:pPr>
        <w:pStyle w:val="ListParagraph"/>
        <w:widowControl w:val="0"/>
        <w:numPr>
          <w:ilvl w:val="0"/>
          <w:numId w:val="4"/>
        </w:numPr>
        <w:spacing w:after="0" w:line="240" w:lineRule="auto"/>
        <w:jc w:val="both"/>
      </w:pPr>
      <w:r w:rsidRPr="00FA462F">
        <w:rPr>
          <w:rFonts w:eastAsiaTheme="minorEastAsia"/>
        </w:rPr>
        <w:t>Donor fatigue following mine action life cycle</w:t>
      </w:r>
    </w:p>
    <w:p w:rsidR="00DE4708" w:rsidRPr="00571049" w:rsidRDefault="00483AA3" w:rsidP="00DE4708">
      <w:pPr>
        <w:pStyle w:val="ListParagraph"/>
        <w:widowControl w:val="0"/>
        <w:numPr>
          <w:ilvl w:val="0"/>
          <w:numId w:val="4"/>
        </w:numPr>
        <w:spacing w:after="0" w:line="240" w:lineRule="auto"/>
        <w:jc w:val="both"/>
      </w:pPr>
      <w:r>
        <w:rPr>
          <w:rFonts w:eastAsiaTheme="minorEastAsia"/>
        </w:rPr>
        <w:t>General</w:t>
      </w:r>
      <w:r w:rsidR="00DE4708" w:rsidRPr="00FA462F">
        <w:rPr>
          <w:rFonts w:eastAsiaTheme="minorEastAsia"/>
        </w:rPr>
        <w:t>misinformation regarding progress and remaining needs</w:t>
      </w:r>
    </w:p>
    <w:p w:rsidR="00DE4708" w:rsidRPr="00571049" w:rsidRDefault="00DE4708" w:rsidP="00DE4708">
      <w:pPr>
        <w:pStyle w:val="ListParagraph"/>
        <w:widowControl w:val="0"/>
        <w:numPr>
          <w:ilvl w:val="0"/>
          <w:numId w:val="4"/>
        </w:numPr>
        <w:spacing w:after="0" w:line="240" w:lineRule="auto"/>
        <w:jc w:val="both"/>
      </w:pPr>
      <w:r>
        <w:rPr>
          <w:rFonts w:eastAsiaTheme="minorEastAsia"/>
        </w:rPr>
        <w:t>P</w:t>
      </w:r>
      <w:r w:rsidRPr="00FA462F">
        <w:rPr>
          <w:rFonts w:eastAsiaTheme="minorEastAsia"/>
        </w:rPr>
        <w:t>revious government</w:t>
      </w:r>
      <w:r>
        <w:rPr>
          <w:rFonts w:eastAsiaTheme="minorEastAsia"/>
        </w:rPr>
        <w:t>’s relationship with donors</w:t>
      </w:r>
    </w:p>
    <w:p w:rsidR="00DE4708" w:rsidRPr="00571049" w:rsidRDefault="00DE4708" w:rsidP="00DE4708">
      <w:pPr>
        <w:pStyle w:val="ListParagraph"/>
        <w:widowControl w:val="0"/>
        <w:numPr>
          <w:ilvl w:val="0"/>
          <w:numId w:val="4"/>
        </w:numPr>
        <w:spacing w:after="0" w:line="240" w:lineRule="auto"/>
        <w:jc w:val="both"/>
      </w:pPr>
      <w:r w:rsidRPr="00FA462F">
        <w:rPr>
          <w:rFonts w:eastAsiaTheme="minorEastAsia"/>
        </w:rPr>
        <w:t>Competition for limited funding among operators</w:t>
      </w:r>
    </w:p>
    <w:p w:rsidR="00DE4708" w:rsidRPr="00571049" w:rsidRDefault="00DE4708" w:rsidP="00DE4708">
      <w:pPr>
        <w:pStyle w:val="ListParagraph"/>
        <w:widowControl w:val="0"/>
        <w:numPr>
          <w:ilvl w:val="0"/>
          <w:numId w:val="4"/>
        </w:numPr>
        <w:spacing w:after="0" w:line="240" w:lineRule="auto"/>
        <w:jc w:val="both"/>
      </w:pPr>
      <w:r w:rsidRPr="00FA462F">
        <w:rPr>
          <w:rFonts w:eastAsiaTheme="minorEastAsia"/>
        </w:rPr>
        <w:t>Inconsistent data</w:t>
      </w:r>
    </w:p>
    <w:p w:rsidR="00DE4708" w:rsidRPr="00571049" w:rsidRDefault="00DE4708" w:rsidP="00DE4708">
      <w:pPr>
        <w:pStyle w:val="ListParagraph"/>
        <w:widowControl w:val="0"/>
        <w:numPr>
          <w:ilvl w:val="0"/>
          <w:numId w:val="4"/>
        </w:numPr>
        <w:spacing w:after="0" w:line="240" w:lineRule="auto"/>
        <w:jc w:val="both"/>
      </w:pPr>
      <w:r>
        <w:rPr>
          <w:rFonts w:eastAsiaTheme="minorEastAsia"/>
        </w:rPr>
        <w:t>Weak s</w:t>
      </w:r>
      <w:r w:rsidRPr="00FA462F">
        <w:rPr>
          <w:rFonts w:eastAsiaTheme="minorEastAsia"/>
        </w:rPr>
        <w:t xml:space="preserve">ector coordination and </w:t>
      </w:r>
      <w:r w:rsidR="00C7514F">
        <w:rPr>
          <w:rFonts w:eastAsiaTheme="minorEastAsia"/>
        </w:rPr>
        <w:t xml:space="preserve">incoherent </w:t>
      </w:r>
      <w:r w:rsidRPr="00FA462F">
        <w:rPr>
          <w:rFonts w:eastAsiaTheme="minorEastAsia"/>
        </w:rPr>
        <w:t>messaging</w:t>
      </w:r>
    </w:p>
    <w:p w:rsidR="00DE4708" w:rsidRPr="002363E0" w:rsidRDefault="00DE4708" w:rsidP="00DE4708">
      <w:pPr>
        <w:pStyle w:val="ListParagraph"/>
        <w:widowControl w:val="0"/>
        <w:numPr>
          <w:ilvl w:val="0"/>
          <w:numId w:val="4"/>
        </w:numPr>
        <w:spacing w:after="0" w:line="240" w:lineRule="auto"/>
        <w:jc w:val="both"/>
      </w:pPr>
      <w:r>
        <w:rPr>
          <w:rFonts w:eastAsiaTheme="minorEastAsia"/>
        </w:rPr>
        <w:t xml:space="preserve">Limited </w:t>
      </w:r>
      <w:r w:rsidRPr="00FA462F">
        <w:rPr>
          <w:rFonts w:eastAsiaTheme="minorEastAsia"/>
        </w:rPr>
        <w:t>NMAC resources</w:t>
      </w:r>
    </w:p>
    <w:p w:rsidR="00DE4708" w:rsidRPr="00353A93" w:rsidRDefault="00DE4708" w:rsidP="00DE4708">
      <w:pPr>
        <w:pStyle w:val="ListParagraph"/>
        <w:widowControl w:val="0"/>
        <w:numPr>
          <w:ilvl w:val="0"/>
          <w:numId w:val="4"/>
        </w:numPr>
        <w:spacing w:after="60" w:line="240" w:lineRule="auto"/>
        <w:contextualSpacing w:val="0"/>
        <w:jc w:val="both"/>
      </w:pPr>
      <w:r w:rsidRPr="00FA462F">
        <w:rPr>
          <w:rFonts w:eastAsiaTheme="minorEastAsia"/>
        </w:rPr>
        <w:t>Sustainability issues, such as long-term staff employment</w:t>
      </w:r>
    </w:p>
    <w:p w:rsidR="00DE4708" w:rsidRPr="00FA462F" w:rsidRDefault="00DE4708" w:rsidP="00DE4708">
      <w:pPr>
        <w:pStyle w:val="ListParagraph"/>
        <w:widowControl w:val="0"/>
        <w:numPr>
          <w:ilvl w:val="0"/>
          <w:numId w:val="3"/>
        </w:numPr>
        <w:spacing w:after="60" w:line="240" w:lineRule="auto"/>
        <w:contextualSpacing w:val="0"/>
        <w:jc w:val="both"/>
        <w:rPr>
          <w:rFonts w:eastAsiaTheme="minorEastAsia"/>
        </w:rPr>
      </w:pPr>
      <w:r w:rsidRPr="00FA462F">
        <w:rPr>
          <w:rFonts w:eastAsiaTheme="minorEastAsia"/>
        </w:rPr>
        <w:t xml:space="preserve">Opportunities: </w:t>
      </w:r>
    </w:p>
    <w:p w:rsidR="00DE4708" w:rsidRPr="00FA462F" w:rsidRDefault="00DE4708" w:rsidP="00DE4708">
      <w:pPr>
        <w:pStyle w:val="ListParagraph"/>
        <w:widowControl w:val="0"/>
        <w:numPr>
          <w:ilvl w:val="0"/>
          <w:numId w:val="4"/>
        </w:numPr>
        <w:spacing w:after="0" w:line="240" w:lineRule="auto"/>
        <w:jc w:val="both"/>
        <w:rPr>
          <w:rFonts w:eastAsiaTheme="minorEastAsia"/>
        </w:rPr>
      </w:pPr>
      <w:r w:rsidRPr="00FA462F">
        <w:rPr>
          <w:rFonts w:eastAsiaTheme="minorEastAsia"/>
        </w:rPr>
        <w:t>Sri Lanka National Mine Action Strategy</w:t>
      </w:r>
      <w:r>
        <w:rPr>
          <w:rFonts w:eastAsiaTheme="minorEastAsia"/>
        </w:rPr>
        <w:t xml:space="preserve">, </w:t>
      </w:r>
      <w:r w:rsidRPr="00FA462F">
        <w:rPr>
          <w:rFonts w:eastAsiaTheme="minorEastAsia"/>
        </w:rPr>
        <w:t>2016-2020</w:t>
      </w:r>
    </w:p>
    <w:p w:rsidR="00DE4708" w:rsidRPr="00FA462F" w:rsidRDefault="00DE4708" w:rsidP="00DE4708">
      <w:pPr>
        <w:pStyle w:val="ListParagraph"/>
        <w:widowControl w:val="0"/>
        <w:numPr>
          <w:ilvl w:val="0"/>
          <w:numId w:val="4"/>
        </w:numPr>
        <w:spacing w:after="0" w:line="240" w:lineRule="auto"/>
        <w:jc w:val="both"/>
        <w:rPr>
          <w:rFonts w:eastAsiaTheme="minorEastAsia"/>
        </w:rPr>
      </w:pPr>
      <w:r w:rsidRPr="00FA462F">
        <w:rPr>
          <w:rFonts w:eastAsiaTheme="minorEastAsia"/>
        </w:rPr>
        <w:t xml:space="preserve">Confirmed </w:t>
      </w:r>
      <w:r>
        <w:rPr>
          <w:rFonts w:eastAsiaTheme="minorEastAsia"/>
        </w:rPr>
        <w:t xml:space="preserve">intent to </w:t>
      </w:r>
      <w:r w:rsidRPr="00FA462F">
        <w:rPr>
          <w:rFonts w:eastAsiaTheme="minorEastAsia"/>
        </w:rPr>
        <w:t xml:space="preserve">sign the </w:t>
      </w:r>
      <w:r w:rsidR="00C7514F">
        <w:rPr>
          <w:rFonts w:eastAsiaTheme="minorEastAsia"/>
        </w:rPr>
        <w:t xml:space="preserve">Anti-personnel </w:t>
      </w:r>
      <w:r w:rsidRPr="00DD6B28">
        <w:rPr>
          <w:rFonts w:eastAsiaTheme="minorEastAsia"/>
        </w:rPr>
        <w:t xml:space="preserve">Mine Ban </w:t>
      </w:r>
      <w:r w:rsidR="00C7514F">
        <w:rPr>
          <w:rFonts w:eastAsiaTheme="minorEastAsia"/>
        </w:rPr>
        <w:t>Convention</w:t>
      </w:r>
      <w:r w:rsidR="0089743C">
        <w:rPr>
          <w:rFonts w:eastAsiaTheme="minorEastAsia"/>
        </w:rPr>
        <w:t xml:space="preserve"> (APMBC)</w:t>
      </w:r>
    </w:p>
    <w:p w:rsidR="00DE4708" w:rsidRPr="00FA462F" w:rsidRDefault="00DE4708" w:rsidP="00DE4708">
      <w:pPr>
        <w:pStyle w:val="ListParagraph"/>
        <w:widowControl w:val="0"/>
        <w:numPr>
          <w:ilvl w:val="0"/>
          <w:numId w:val="4"/>
        </w:numPr>
        <w:spacing w:after="0" w:line="240" w:lineRule="auto"/>
        <w:jc w:val="both"/>
        <w:rPr>
          <w:rFonts w:eastAsiaTheme="minorEastAsia"/>
        </w:rPr>
      </w:pPr>
      <w:r w:rsidRPr="00FA462F">
        <w:rPr>
          <w:rFonts w:eastAsiaTheme="minorEastAsia"/>
        </w:rPr>
        <w:t>New government</w:t>
      </w:r>
      <w:r>
        <w:rPr>
          <w:rFonts w:eastAsiaTheme="minorEastAsia"/>
        </w:rPr>
        <w:t>’s</w:t>
      </w:r>
      <w:r w:rsidRPr="00FA462F">
        <w:rPr>
          <w:rFonts w:eastAsiaTheme="minorEastAsia"/>
        </w:rPr>
        <w:t xml:space="preserve"> commitment to the mine action sector</w:t>
      </w:r>
    </w:p>
    <w:p w:rsidR="00DE4708" w:rsidRPr="00FA462F" w:rsidRDefault="00DE4708" w:rsidP="00DE4708">
      <w:pPr>
        <w:pStyle w:val="ListParagraph"/>
        <w:widowControl w:val="0"/>
        <w:numPr>
          <w:ilvl w:val="0"/>
          <w:numId w:val="4"/>
        </w:numPr>
        <w:spacing w:line="240" w:lineRule="auto"/>
        <w:contextualSpacing w:val="0"/>
        <w:jc w:val="both"/>
        <w:rPr>
          <w:rFonts w:eastAsiaTheme="minorEastAsia"/>
        </w:rPr>
      </w:pPr>
      <w:r>
        <w:rPr>
          <w:rFonts w:eastAsiaTheme="minorEastAsia"/>
        </w:rPr>
        <w:t>Mine a</w:t>
      </w:r>
      <w:r w:rsidRPr="00FA462F">
        <w:rPr>
          <w:rFonts w:eastAsiaTheme="minorEastAsia"/>
        </w:rPr>
        <w:t>ction as a cross-cutting activity within development priorities</w:t>
      </w:r>
    </w:p>
    <w:p w:rsidR="00DE4708" w:rsidRPr="00C26E34" w:rsidRDefault="00DE4708" w:rsidP="00C26E34">
      <w:pPr>
        <w:pStyle w:val="Heading2"/>
      </w:pPr>
      <w:r w:rsidRPr="00C26E34">
        <w:t>Summary of Overarching Themes of the Workshop</w:t>
      </w:r>
    </w:p>
    <w:p w:rsidR="00DE4708" w:rsidRDefault="00DE4708" w:rsidP="00DE4708">
      <w:pPr>
        <w:pStyle w:val="ListParagraph"/>
        <w:keepNext/>
        <w:ind w:left="0"/>
        <w:contextualSpacing w:val="0"/>
        <w:rPr>
          <w:rFonts w:eastAsiaTheme="minorEastAsia"/>
        </w:rPr>
      </w:pPr>
      <w:r>
        <w:rPr>
          <w:rFonts w:eastAsiaTheme="minorEastAsia"/>
        </w:rPr>
        <w:t xml:space="preserve">While the Resource Mobilization workshop focused on the strategic objectives included in the </w:t>
      </w:r>
      <w:r w:rsidRPr="00E86498">
        <w:rPr>
          <w:rFonts w:eastAsiaTheme="minorEastAsia"/>
        </w:rPr>
        <w:t>Sri Lanka National Mine Action Strategy</w:t>
      </w:r>
      <w:r>
        <w:rPr>
          <w:rFonts w:eastAsiaTheme="minorEastAsia"/>
        </w:rPr>
        <w:t xml:space="preserve">, </w:t>
      </w:r>
      <w:r w:rsidR="00C26E34">
        <w:rPr>
          <w:rFonts w:eastAsiaTheme="minorEastAsia"/>
        </w:rPr>
        <w:t xml:space="preserve">several </w:t>
      </w:r>
      <w:r>
        <w:rPr>
          <w:rFonts w:eastAsiaTheme="minorEastAsia"/>
        </w:rPr>
        <w:t>overarching priorities for NMAC emerged:</w:t>
      </w:r>
    </w:p>
    <w:p w:rsidR="00DE4708" w:rsidRDefault="00DE4708" w:rsidP="00DE4708">
      <w:pPr>
        <w:pStyle w:val="ListParagraph"/>
        <w:numPr>
          <w:ilvl w:val="0"/>
          <w:numId w:val="3"/>
        </w:numPr>
        <w:rPr>
          <w:rFonts w:eastAsiaTheme="minorEastAsia"/>
        </w:rPr>
      </w:pPr>
      <w:r>
        <w:rPr>
          <w:rFonts w:eastAsiaTheme="minorEastAsia"/>
        </w:rPr>
        <w:t>Need to formalize the coordination role of NMAC over the mine action sector throughout Sri Lanka</w:t>
      </w:r>
    </w:p>
    <w:p w:rsidR="00483AA3" w:rsidRDefault="00483AA3" w:rsidP="00483AA3">
      <w:pPr>
        <w:pStyle w:val="ListParagraph"/>
        <w:numPr>
          <w:ilvl w:val="0"/>
          <w:numId w:val="3"/>
        </w:numPr>
        <w:rPr>
          <w:rFonts w:eastAsiaTheme="minorEastAsia"/>
        </w:rPr>
      </w:pPr>
      <w:r>
        <w:rPr>
          <w:rFonts w:eastAsiaTheme="minorEastAsia"/>
        </w:rPr>
        <w:t>Necessity to increase communication between stakeholders</w:t>
      </w:r>
    </w:p>
    <w:p w:rsidR="00483AA3" w:rsidRPr="00483AA3" w:rsidRDefault="00483AA3" w:rsidP="00483AA3">
      <w:pPr>
        <w:pStyle w:val="ListParagraph"/>
        <w:numPr>
          <w:ilvl w:val="0"/>
          <w:numId w:val="3"/>
        </w:numPr>
        <w:rPr>
          <w:rFonts w:eastAsiaTheme="minorEastAsia"/>
        </w:rPr>
      </w:pPr>
      <w:r w:rsidRPr="00E84E9C">
        <w:rPr>
          <w:rFonts w:eastAsiaTheme="minorEastAsia"/>
        </w:rPr>
        <w:t>Importance of ensuring NMAC has the internal resources and capacity to fulfil these responsibilities</w:t>
      </w:r>
    </w:p>
    <w:p w:rsidR="00E4361E" w:rsidRDefault="00483AA3" w:rsidP="00DE4708">
      <w:pPr>
        <w:rPr>
          <w:rFonts w:eastAsiaTheme="minorEastAsia"/>
        </w:rPr>
      </w:pPr>
      <w:r>
        <w:rPr>
          <w:rFonts w:eastAsiaTheme="minorEastAsia"/>
        </w:rPr>
        <w:t>We did also realize engaged in discussions with the participants that</w:t>
      </w:r>
      <w:r w:rsidR="00970F96" w:rsidRPr="00483AA3">
        <w:rPr>
          <w:rFonts w:eastAsiaTheme="minorEastAsia"/>
        </w:rPr>
        <w:t xml:space="preserve"> the pillars of mine action</w:t>
      </w:r>
      <w:r>
        <w:rPr>
          <w:rFonts w:eastAsiaTheme="minorEastAsia"/>
        </w:rPr>
        <w:t>,</w:t>
      </w:r>
      <w:r w:rsidR="00970F96" w:rsidRPr="00483AA3">
        <w:rPr>
          <w:rFonts w:eastAsiaTheme="minorEastAsia"/>
        </w:rPr>
        <w:t xml:space="preserve"> HD and MRE on </w:t>
      </w:r>
      <w:r w:rsidR="00E84E9C" w:rsidRPr="00483AA3">
        <w:rPr>
          <w:rFonts w:eastAsiaTheme="minorEastAsia"/>
        </w:rPr>
        <w:t xml:space="preserve">the one </w:t>
      </w:r>
      <w:r w:rsidR="00970F96" w:rsidRPr="00483AA3">
        <w:rPr>
          <w:rFonts w:eastAsiaTheme="minorEastAsia"/>
        </w:rPr>
        <w:t xml:space="preserve">side and VA on the other </w:t>
      </w:r>
      <w:r w:rsidR="00E84E9C" w:rsidRPr="00483AA3">
        <w:rPr>
          <w:rFonts w:eastAsiaTheme="minorEastAsia"/>
        </w:rPr>
        <w:t xml:space="preserve">side </w:t>
      </w:r>
      <w:r w:rsidR="00970F96" w:rsidRPr="00483AA3">
        <w:rPr>
          <w:rFonts w:eastAsiaTheme="minorEastAsia"/>
        </w:rPr>
        <w:t xml:space="preserve">may have different </w:t>
      </w:r>
      <w:r w:rsidR="00E84E9C" w:rsidRPr="00483AA3">
        <w:rPr>
          <w:rFonts w:eastAsiaTheme="minorEastAsia"/>
        </w:rPr>
        <w:t xml:space="preserve">time frames and audiences in terms of </w:t>
      </w:r>
      <w:r>
        <w:rPr>
          <w:rFonts w:eastAsiaTheme="minorEastAsia"/>
        </w:rPr>
        <w:t xml:space="preserve">coordination, </w:t>
      </w:r>
      <w:r w:rsidR="00970F96" w:rsidRPr="00483AA3">
        <w:rPr>
          <w:rFonts w:eastAsiaTheme="minorEastAsia"/>
        </w:rPr>
        <w:t>communication</w:t>
      </w:r>
      <w:r w:rsidR="00E84E9C" w:rsidRPr="00483AA3">
        <w:rPr>
          <w:rFonts w:eastAsiaTheme="minorEastAsia"/>
        </w:rPr>
        <w:t>s</w:t>
      </w:r>
      <w:r w:rsidR="00970F96" w:rsidRPr="00483AA3">
        <w:rPr>
          <w:rFonts w:eastAsiaTheme="minorEastAsia"/>
        </w:rPr>
        <w:t xml:space="preserve"> and lobbying</w:t>
      </w:r>
      <w:r>
        <w:rPr>
          <w:rFonts w:eastAsiaTheme="minorEastAsia"/>
        </w:rPr>
        <w:t>.</w:t>
      </w:r>
    </w:p>
    <w:p w:rsidR="00DE4708" w:rsidRDefault="00DE4708" w:rsidP="00DE4708">
      <w:pPr>
        <w:rPr>
          <w:rFonts w:eastAsiaTheme="minorEastAsia"/>
        </w:rPr>
      </w:pPr>
      <w:r>
        <w:rPr>
          <w:rFonts w:eastAsiaTheme="minorEastAsia"/>
        </w:rPr>
        <w:t>During t</w:t>
      </w:r>
      <w:r w:rsidRPr="00E00494">
        <w:rPr>
          <w:rFonts w:eastAsiaTheme="minorEastAsia"/>
        </w:rPr>
        <w:t xml:space="preserve">he </w:t>
      </w:r>
      <w:r>
        <w:rPr>
          <w:rFonts w:eastAsiaTheme="minorEastAsia"/>
        </w:rPr>
        <w:t xml:space="preserve">discussion leading up to the development of the draft </w:t>
      </w:r>
      <w:r w:rsidRPr="00E00494">
        <w:rPr>
          <w:rFonts w:eastAsiaTheme="minorEastAsia"/>
        </w:rPr>
        <w:t xml:space="preserve">resource mobilization action plan </w:t>
      </w:r>
      <w:r w:rsidR="00C26E34">
        <w:rPr>
          <w:rFonts w:eastAsiaTheme="minorEastAsia"/>
        </w:rPr>
        <w:t>the following</w:t>
      </w:r>
      <w:r>
        <w:rPr>
          <w:rFonts w:eastAsiaTheme="minorEastAsia"/>
        </w:rPr>
        <w:t xml:space="preserve"> overarching </w:t>
      </w:r>
      <w:r w:rsidRPr="00E00494">
        <w:rPr>
          <w:rFonts w:eastAsiaTheme="minorEastAsia"/>
        </w:rPr>
        <w:t xml:space="preserve">areas </w:t>
      </w:r>
      <w:r>
        <w:rPr>
          <w:rFonts w:eastAsiaTheme="minorEastAsia"/>
        </w:rPr>
        <w:t xml:space="preserve">were </w:t>
      </w:r>
      <w:r w:rsidR="004B1FCF">
        <w:rPr>
          <w:rFonts w:eastAsiaTheme="minorEastAsia"/>
        </w:rPr>
        <w:t>identified</w:t>
      </w:r>
      <w:r w:rsidR="00483AA3">
        <w:rPr>
          <w:rFonts w:eastAsiaTheme="minorEastAsia"/>
        </w:rPr>
        <w:t xml:space="preserve"> in the context of</w:t>
      </w:r>
      <w:r w:rsidR="004B1FCF">
        <w:rPr>
          <w:rFonts w:eastAsiaTheme="minorEastAsia"/>
        </w:rPr>
        <w:t xml:space="preserve">the </w:t>
      </w:r>
      <w:r>
        <w:rPr>
          <w:rFonts w:eastAsiaTheme="minorEastAsia"/>
        </w:rPr>
        <w:t>strategic objectives. G</w:t>
      </w:r>
      <w:r w:rsidRPr="00E00494">
        <w:rPr>
          <w:rFonts w:eastAsiaTheme="minorEastAsia"/>
        </w:rPr>
        <w:t>iven their importance to the achievement of the National Strategy</w:t>
      </w:r>
      <w:r>
        <w:rPr>
          <w:rFonts w:eastAsiaTheme="minorEastAsia"/>
        </w:rPr>
        <w:t xml:space="preserve">, these are elaborated below: </w:t>
      </w:r>
    </w:p>
    <w:p w:rsidR="00E4361E" w:rsidRPr="00C95A07" w:rsidRDefault="00E4361E" w:rsidP="00E4361E">
      <w:pPr>
        <w:widowControl w:val="0"/>
        <w:jc w:val="both"/>
      </w:pPr>
      <w:r w:rsidRPr="00F64801">
        <w:rPr>
          <w:rFonts w:eastAsiaTheme="minorEastAsia"/>
          <w:b/>
        </w:rPr>
        <w:t>Coordination</w:t>
      </w:r>
      <w:r>
        <w:rPr>
          <w:rFonts w:eastAsiaTheme="minorEastAsia"/>
          <w:b/>
        </w:rPr>
        <w:t xml:space="preserve">. </w:t>
      </w:r>
      <w:r>
        <w:rPr>
          <w:rFonts w:eastAsiaTheme="minorEastAsia"/>
        </w:rPr>
        <w:t xml:space="preserve">As NMAC takes on a stronger role as the coordinating body of the mine action sector, an important first step is to formalize regular meetings of stakeholders. The following list highlights </w:t>
      </w:r>
      <w:r>
        <w:rPr>
          <w:rFonts w:eastAsiaTheme="minorEastAsia"/>
        </w:rPr>
        <w:lastRenderedPageBreak/>
        <w:t>the primary meetings recommended in the draft action plan.</w:t>
      </w:r>
    </w:p>
    <w:p w:rsidR="00E4361E" w:rsidRDefault="00E4361E" w:rsidP="00E4361E">
      <w:pPr>
        <w:pStyle w:val="ListParagraph"/>
        <w:widowControl w:val="0"/>
        <w:numPr>
          <w:ilvl w:val="0"/>
          <w:numId w:val="7"/>
        </w:numPr>
        <w:spacing w:after="0"/>
        <w:contextualSpacing w:val="0"/>
      </w:pPr>
      <w:r w:rsidRPr="00F64801">
        <w:rPr>
          <w:i/>
        </w:rPr>
        <w:t xml:space="preserve">Steering Committee. </w:t>
      </w:r>
      <w:r>
        <w:t xml:space="preserve">The restarting of Steering Committee meetings is an important part of the National Strategy, which states that the meetings are to be held </w:t>
      </w:r>
      <w:r w:rsidRPr="00556901">
        <w:t>up at the national level and</w:t>
      </w:r>
      <w:r>
        <w:t xml:space="preserve"> in three regions. The national steering committee fulfills the role of a national authority and integrates inter-ministerial coordination.  The formalization of these meetings, in terms of dates and participants, and the organizational responsibility for the meetings within NMAC, is an important first step to overseeing sector coordination. </w:t>
      </w:r>
    </w:p>
    <w:p w:rsidR="00E4361E" w:rsidRDefault="00E4361E" w:rsidP="00E4361E">
      <w:pPr>
        <w:pStyle w:val="ListParagraph"/>
        <w:widowControl w:val="0"/>
        <w:numPr>
          <w:ilvl w:val="0"/>
          <w:numId w:val="7"/>
        </w:numPr>
        <w:spacing w:after="0"/>
        <w:contextualSpacing w:val="0"/>
      </w:pPr>
      <w:r w:rsidRPr="00F64801">
        <w:rPr>
          <w:i/>
        </w:rPr>
        <w:t>Operational committees.</w:t>
      </w:r>
      <w:r>
        <w:t xml:space="preserve"> The draft action plan includes operational coordinating </w:t>
      </w:r>
      <w:r w:rsidRPr="00556901">
        <w:t xml:space="preserve">committee </w:t>
      </w:r>
      <w:r>
        <w:t>meetings for clearance, mine risk education (MRE), and victim assistance (VA) with a set periodicity at national level (Annual Operational Plan), and district levels.</w:t>
      </w:r>
    </w:p>
    <w:p w:rsidR="00E4361E" w:rsidRPr="00E4361E" w:rsidRDefault="00E4361E" w:rsidP="00140BDB">
      <w:pPr>
        <w:pStyle w:val="ListParagraph"/>
        <w:widowControl w:val="0"/>
        <w:numPr>
          <w:ilvl w:val="0"/>
          <w:numId w:val="7"/>
        </w:numPr>
        <w:contextualSpacing w:val="0"/>
      </w:pPr>
      <w:r w:rsidRPr="00F64801">
        <w:rPr>
          <w:i/>
        </w:rPr>
        <w:t xml:space="preserve">Donor/UN meetings. </w:t>
      </w:r>
      <w:r>
        <w:t xml:space="preserve">Donor/UN meetings are opportunities to convey key messages to donors, and to update them on the sector’s progress and needs. These meetings may also take the form of field visits to show donors the work being accomplished. The draft action plan provides for a Donor/UN meeting every six months. </w:t>
      </w:r>
      <w:r w:rsidRPr="00FA718B">
        <w:t xml:space="preserve">The use of a central database of donor information is recommended as a tool to facilitate this coordination. </w:t>
      </w:r>
    </w:p>
    <w:p w:rsidR="00DE4708" w:rsidRDefault="00DE4708" w:rsidP="00DE4708">
      <w:r w:rsidRPr="00A505A0">
        <w:rPr>
          <w:rFonts w:eastAsiaTheme="minorEastAsia"/>
          <w:b/>
        </w:rPr>
        <w:t>Communication</w:t>
      </w:r>
      <w:r>
        <w:rPr>
          <w:rFonts w:eastAsiaTheme="minorEastAsia"/>
          <w:b/>
        </w:rPr>
        <w:t xml:space="preserve">. </w:t>
      </w:r>
      <w:r>
        <w:t xml:space="preserve">The communication of standardized, reliable information is central to NMAC’s responsibilities under the National Strategy. NMAC is uniquely positioned to develop consistent messaging for the sector and coordinate the dissemination of the information within the sector </w:t>
      </w:r>
      <w:r w:rsidR="00ED25F7">
        <w:t xml:space="preserve">as well as </w:t>
      </w:r>
      <w:r>
        <w:t xml:space="preserve">externally to different audiences, including the public, operators, donors, civil society and the private sector, both nationally and internationally. Priority tasks include the following: </w:t>
      </w:r>
    </w:p>
    <w:p w:rsidR="00DE4708" w:rsidRPr="009605A3" w:rsidRDefault="00DE4708" w:rsidP="00DE4708">
      <w:pPr>
        <w:pStyle w:val="ListParagraph"/>
        <w:widowControl w:val="0"/>
        <w:numPr>
          <w:ilvl w:val="0"/>
          <w:numId w:val="6"/>
        </w:numPr>
        <w:contextualSpacing w:val="0"/>
      </w:pPr>
      <w:r w:rsidRPr="009955D7">
        <w:rPr>
          <w:rFonts w:eastAsiaTheme="minorEastAsia"/>
          <w:i/>
        </w:rPr>
        <w:t>Consistent messaging.</w:t>
      </w:r>
      <w:r w:rsidRPr="009955D7">
        <w:rPr>
          <w:rFonts w:eastAsiaTheme="minorEastAsia"/>
        </w:rPr>
        <w:t xml:space="preserve"> Donors and operators participating in the workshop requested NMAC provide a set of key messages (“talking points”) to the mine action sector to better communicate the sector’s news, progress, commitments, and needs. It is particularly relevant at this time in early 2016 to communicate the government’s renewed commitment to the sector, its development of the National Strategy, and the government’s intent to sign the Mine Ban Treaty. Future messages may address survey results, major events, and progress towards strategy outcomes, with the goal of achieving greater standardization and consistency of information presented by stakeholders in various contexts. </w:t>
      </w:r>
    </w:p>
    <w:p w:rsidR="00E74888" w:rsidRDefault="00DE4708" w:rsidP="00140BDB">
      <w:pPr>
        <w:pStyle w:val="ListParagraph"/>
        <w:widowControl w:val="0"/>
        <w:contextualSpacing w:val="0"/>
        <w:rPr>
          <w:rFonts w:eastAsiaTheme="minorEastAsia"/>
        </w:rPr>
      </w:pPr>
      <w:r w:rsidRPr="009605A3">
        <w:rPr>
          <w:rFonts w:eastAsiaTheme="minorEastAsia"/>
        </w:rPr>
        <w:t xml:space="preserve">The workshop also identified the following as key components of messaging to donors: </w:t>
      </w:r>
    </w:p>
    <w:p w:rsidR="00E74888" w:rsidRPr="00140BDB" w:rsidRDefault="00DE4708" w:rsidP="00140BDB">
      <w:pPr>
        <w:pStyle w:val="ListParagraph"/>
        <w:widowControl w:val="0"/>
        <w:numPr>
          <w:ilvl w:val="1"/>
          <w:numId w:val="6"/>
        </w:numPr>
        <w:spacing w:after="0"/>
        <w:ind w:left="1434" w:hanging="357"/>
        <w:contextualSpacing w:val="0"/>
      </w:pPr>
      <w:r w:rsidRPr="009605A3">
        <w:rPr>
          <w:rFonts w:eastAsiaTheme="minorEastAsia"/>
        </w:rPr>
        <w:t>budget needed to implement the National Strategy (the funding gap)</w:t>
      </w:r>
    </w:p>
    <w:p w:rsidR="00E74888" w:rsidRPr="00140BDB" w:rsidRDefault="00DE4708" w:rsidP="00140BDB">
      <w:pPr>
        <w:pStyle w:val="ListParagraph"/>
        <w:widowControl w:val="0"/>
        <w:numPr>
          <w:ilvl w:val="1"/>
          <w:numId w:val="6"/>
        </w:numPr>
        <w:spacing w:after="0"/>
        <w:ind w:left="1434" w:hanging="357"/>
        <w:contextualSpacing w:val="0"/>
      </w:pPr>
      <w:r w:rsidRPr="009605A3">
        <w:rPr>
          <w:rFonts w:eastAsiaTheme="minorEastAsia"/>
        </w:rPr>
        <w:t xml:space="preserve">the sector’s capacity to achieve the </w:t>
      </w:r>
      <w:r w:rsidR="00CD153C">
        <w:rPr>
          <w:rFonts w:eastAsiaTheme="minorEastAsia"/>
        </w:rPr>
        <w:t>strategic</w:t>
      </w:r>
      <w:r w:rsidRPr="009605A3">
        <w:rPr>
          <w:rFonts w:eastAsiaTheme="minorEastAsia"/>
        </w:rPr>
        <w:t>objectives,</w:t>
      </w:r>
    </w:p>
    <w:p w:rsidR="00DE4708" w:rsidRPr="009605A3" w:rsidRDefault="00E74888" w:rsidP="00140BDB">
      <w:pPr>
        <w:pStyle w:val="ListParagraph"/>
        <w:widowControl w:val="0"/>
        <w:numPr>
          <w:ilvl w:val="1"/>
          <w:numId w:val="6"/>
        </w:numPr>
        <w:spacing w:after="0"/>
        <w:ind w:left="1434" w:hanging="357"/>
        <w:contextualSpacing w:val="0"/>
      </w:pPr>
      <w:r>
        <w:rPr>
          <w:rFonts w:eastAsiaTheme="minorEastAsia"/>
        </w:rPr>
        <w:t>t</w:t>
      </w:r>
      <w:r w:rsidR="00DE4708" w:rsidRPr="00140BDB">
        <w:rPr>
          <w:rFonts w:eastAsiaTheme="minorEastAsia"/>
        </w:rPr>
        <w:t>he added value of mine action work and its cross-cutting impact on different sectors and development priorities, including economic development, agriculture, health, and tourism</w:t>
      </w:r>
    </w:p>
    <w:p w:rsidR="00DE4708" w:rsidRPr="009955D7" w:rsidRDefault="00DE4708" w:rsidP="00DE4708">
      <w:pPr>
        <w:pStyle w:val="ListParagraph"/>
        <w:widowControl w:val="0"/>
        <w:numPr>
          <w:ilvl w:val="0"/>
          <w:numId w:val="6"/>
        </w:numPr>
        <w:spacing w:after="60"/>
        <w:contextualSpacing w:val="0"/>
        <w:rPr>
          <w:i/>
        </w:rPr>
      </w:pPr>
      <w:r w:rsidRPr="009955D7">
        <w:rPr>
          <w:rFonts w:eastAsiaTheme="minorEastAsia"/>
          <w:i/>
        </w:rPr>
        <w:t xml:space="preserve">Relaying government commitment to mine action activities. </w:t>
      </w:r>
      <w:r w:rsidRPr="009955D7">
        <w:rPr>
          <w:rFonts w:eastAsiaTheme="minorEastAsia"/>
        </w:rPr>
        <w:t xml:space="preserve">NMAC has unique access to ministries, foreign governments, and donors that can be utilized to disseminate the sector’s key messaging within Sri Lanka as well as overseas. Priority audiences to approach include: </w:t>
      </w:r>
    </w:p>
    <w:p w:rsidR="00DE4708" w:rsidRPr="009955D7" w:rsidRDefault="00DE4708" w:rsidP="00DE4708">
      <w:pPr>
        <w:pStyle w:val="ListParagraph"/>
        <w:widowControl w:val="0"/>
        <w:numPr>
          <w:ilvl w:val="1"/>
          <w:numId w:val="6"/>
        </w:numPr>
        <w:tabs>
          <w:tab w:val="left" w:pos="1080"/>
        </w:tabs>
        <w:spacing w:after="0" w:line="240" w:lineRule="auto"/>
        <w:ind w:left="1080"/>
        <w:rPr>
          <w:i/>
        </w:rPr>
      </w:pPr>
      <w:r>
        <w:t>Contacts within Sri Lanka ministries that have an interest or role to play in mine action</w:t>
      </w:r>
    </w:p>
    <w:p w:rsidR="00DE4708" w:rsidRPr="009955D7" w:rsidRDefault="00DE4708" w:rsidP="00DE4708">
      <w:pPr>
        <w:pStyle w:val="ListParagraph"/>
        <w:widowControl w:val="0"/>
        <w:numPr>
          <w:ilvl w:val="1"/>
          <w:numId w:val="6"/>
        </w:numPr>
        <w:tabs>
          <w:tab w:val="left" w:pos="1080"/>
        </w:tabs>
        <w:spacing w:after="0" w:line="240" w:lineRule="auto"/>
        <w:ind w:left="1080"/>
        <w:rPr>
          <w:i/>
        </w:rPr>
      </w:pPr>
      <w:r>
        <w:t>Existing partners/donors</w:t>
      </w:r>
    </w:p>
    <w:p w:rsidR="00DE4708" w:rsidRPr="009955D7" w:rsidRDefault="00DE4708" w:rsidP="00DE4708">
      <w:pPr>
        <w:pStyle w:val="ListParagraph"/>
        <w:widowControl w:val="0"/>
        <w:numPr>
          <w:ilvl w:val="1"/>
          <w:numId w:val="6"/>
        </w:numPr>
        <w:tabs>
          <w:tab w:val="left" w:pos="1080"/>
        </w:tabs>
        <w:spacing w:after="0" w:line="240" w:lineRule="auto"/>
        <w:ind w:left="1080"/>
        <w:rPr>
          <w:i/>
        </w:rPr>
      </w:pPr>
      <w:r>
        <w:t>New or previous donors</w:t>
      </w:r>
    </w:p>
    <w:p w:rsidR="00DE4708" w:rsidRPr="009955D7" w:rsidRDefault="00DE4708" w:rsidP="00DE4708">
      <w:pPr>
        <w:pStyle w:val="ListParagraph"/>
        <w:widowControl w:val="0"/>
        <w:numPr>
          <w:ilvl w:val="1"/>
          <w:numId w:val="6"/>
        </w:numPr>
        <w:tabs>
          <w:tab w:val="left" w:pos="1080"/>
        </w:tabs>
        <w:spacing w:after="0" w:line="240" w:lineRule="auto"/>
        <w:ind w:left="1080"/>
        <w:rPr>
          <w:i/>
        </w:rPr>
      </w:pPr>
      <w:r>
        <w:lastRenderedPageBreak/>
        <w:t xml:space="preserve">Sri Lankan embassies overseas </w:t>
      </w:r>
    </w:p>
    <w:p w:rsidR="00DE4708" w:rsidRPr="009955D7" w:rsidRDefault="00DE4708" w:rsidP="00DE4708">
      <w:pPr>
        <w:pStyle w:val="ListParagraph"/>
        <w:widowControl w:val="0"/>
        <w:numPr>
          <w:ilvl w:val="1"/>
          <w:numId w:val="6"/>
        </w:numPr>
        <w:tabs>
          <w:tab w:val="left" w:pos="1080"/>
        </w:tabs>
        <w:spacing w:after="60"/>
        <w:ind w:left="1080"/>
        <w:contextualSpacing w:val="0"/>
        <w:rPr>
          <w:i/>
        </w:rPr>
      </w:pPr>
      <w:r>
        <w:t xml:space="preserve">International fora, such as </w:t>
      </w:r>
      <w:r w:rsidRPr="00061134">
        <w:t>Meeting of Mine Action National Programme Directors and United Nations Advisors</w:t>
      </w:r>
      <w:r w:rsidR="00C26E34">
        <w:t>, international conventions and treaties review meetings (APMBC, CCM, CCW)</w:t>
      </w:r>
      <w:r>
        <w:t xml:space="preserve">. Such events provide opportunities to relay key messaging within speeches, networking or media statements. </w:t>
      </w:r>
    </w:p>
    <w:p w:rsidR="00DE4708" w:rsidRDefault="00DE4708" w:rsidP="00DE4708">
      <w:pPr>
        <w:pStyle w:val="ListParagraph"/>
        <w:keepNext/>
        <w:numPr>
          <w:ilvl w:val="0"/>
          <w:numId w:val="6"/>
        </w:numPr>
        <w:spacing w:after="0"/>
        <w:contextualSpacing w:val="0"/>
      </w:pPr>
      <w:r w:rsidRPr="009955D7">
        <w:rPr>
          <w:i/>
        </w:rPr>
        <w:t>Marketing</w:t>
      </w:r>
      <w:r>
        <w:t>. Marketing of the sector was a central theme of the Resource Mobilization workshop, and the development of marketing tools and channels are a</w:t>
      </w:r>
      <w:r w:rsidR="00B67622">
        <w:t>n important</w:t>
      </w:r>
      <w:r>
        <w:t xml:space="preserve"> priority for NMAC. As noted in the draft action plan, immediate attention should be given to the improvement of the NMAC website and to a quarterly newsletter for circulation among all stakeholders. With the finalization of these tools, attention can be turned to further dissemination of the tools and information through social media, TV/Radio, newspapers, and more targeted communication according to the audience. The draft action plan also notes that a media tour </w:t>
      </w:r>
      <w:r w:rsidR="00970F96">
        <w:t xml:space="preserve">with donors </w:t>
      </w:r>
      <w:r>
        <w:t>to affected areas should take place annually.</w:t>
      </w:r>
    </w:p>
    <w:p w:rsidR="00DE4708" w:rsidRPr="00061134" w:rsidRDefault="00DE4708" w:rsidP="00DE4708">
      <w:pPr>
        <w:pStyle w:val="ListParagraph"/>
        <w:widowControl w:val="0"/>
        <w:numPr>
          <w:ilvl w:val="0"/>
          <w:numId w:val="6"/>
        </w:numPr>
        <w:contextualSpacing w:val="0"/>
      </w:pPr>
      <w:r w:rsidRPr="009955D7">
        <w:rPr>
          <w:i/>
        </w:rPr>
        <w:t>April 4</w:t>
      </w:r>
      <w:r w:rsidRPr="009955D7">
        <w:rPr>
          <w:i/>
          <w:vertAlign w:val="superscript"/>
        </w:rPr>
        <w:t>th</w:t>
      </w:r>
      <w:r>
        <w:t xml:space="preserve">. The </w:t>
      </w:r>
      <w:r w:rsidRPr="007D4F02">
        <w:t xml:space="preserve">International Day </w:t>
      </w:r>
      <w:r w:rsidR="00215207">
        <w:t>of</w:t>
      </w:r>
      <w:r w:rsidRPr="007D4F02">
        <w:t xml:space="preserve">Mine Awareness and Assistance </w:t>
      </w:r>
      <w:r w:rsidR="00215207">
        <w:t xml:space="preserve"> taking place </w:t>
      </w:r>
      <w:r>
        <w:t xml:space="preserve"> on April 4</w:t>
      </w:r>
      <w:r w:rsidRPr="009955D7">
        <w:rPr>
          <w:vertAlign w:val="superscript"/>
        </w:rPr>
        <w:t>th</w:t>
      </w:r>
      <w:r>
        <w:t xml:space="preserve"> is a unique opportunity for NMAC to draw attention to the mine action sector in Sri Lanka and to further disseminate the messages discussed. In its planning of April 4</w:t>
      </w:r>
      <w:r w:rsidRPr="009955D7">
        <w:rPr>
          <w:vertAlign w:val="superscript"/>
        </w:rPr>
        <w:t>th</w:t>
      </w:r>
      <w:r>
        <w:t xml:space="preserve"> events, NMAC has the opportunity to highlight the high-profile and positive news surrounding the new government’s commitment to the sector and the signing of the </w:t>
      </w:r>
      <w:r w:rsidR="00215207">
        <w:t>APMBC</w:t>
      </w:r>
      <w:r>
        <w:t>. From a resource mobilization perspective, NMAC is encouraged to consider event sponsorship of April 4</w:t>
      </w:r>
      <w:r w:rsidRPr="009955D7">
        <w:rPr>
          <w:vertAlign w:val="superscript"/>
        </w:rPr>
        <w:t>th</w:t>
      </w:r>
      <w:r>
        <w:t xml:space="preserve"> events by civil society or private sector companies that may be motivated by the day’s publicity. </w:t>
      </w:r>
    </w:p>
    <w:p w:rsidR="00DE4708" w:rsidRDefault="00DE4708" w:rsidP="00DE4708">
      <w:pPr>
        <w:widowControl w:val="0"/>
        <w:jc w:val="both"/>
      </w:pPr>
      <w:r w:rsidRPr="00F64801">
        <w:rPr>
          <w:rFonts w:eastAsiaTheme="minorEastAsia"/>
          <w:b/>
        </w:rPr>
        <w:t>NMAC Resources/Capacity</w:t>
      </w:r>
      <w:r>
        <w:rPr>
          <w:rFonts w:eastAsiaTheme="minorEastAsia"/>
          <w:b/>
        </w:rPr>
        <w:t xml:space="preserve">. </w:t>
      </w:r>
      <w:r w:rsidRPr="00353A93">
        <w:t xml:space="preserve">In order to fulfil the Strategic Objectives of the National Strategy, including </w:t>
      </w:r>
      <w:r>
        <w:t xml:space="preserve">overall </w:t>
      </w:r>
      <w:r w:rsidRPr="00353A93">
        <w:t>communication and coordinat</w:t>
      </w:r>
      <w:r>
        <w:t>ion</w:t>
      </w:r>
      <w:r w:rsidRPr="00353A93">
        <w:t xml:space="preserve"> roles, NMAC will </w:t>
      </w:r>
      <w:r>
        <w:t>need</w:t>
      </w:r>
      <w:r w:rsidRPr="00353A93">
        <w:t xml:space="preserve"> to ensure that the human resources are available and appropriately</w:t>
      </w:r>
      <w:r>
        <w:t xml:space="preserve"> trained and</w:t>
      </w:r>
      <w:r w:rsidRPr="00353A93">
        <w:t xml:space="preserve"> task</w:t>
      </w:r>
      <w:r>
        <w:t>ed to implement the draft action plan and mine action sector activities</w:t>
      </w:r>
      <w:r w:rsidRPr="00353A93">
        <w:t xml:space="preserve">. </w:t>
      </w:r>
      <w:r>
        <w:t xml:space="preserve">One possibility raised was that some donors may be willing to fund specific government positions as part of their bilateral support. Specifically, it was noted that NMAC should secure funding for the following positions: </w:t>
      </w:r>
    </w:p>
    <w:p w:rsidR="00DE4708" w:rsidRDefault="00B67622" w:rsidP="00DE4708">
      <w:pPr>
        <w:pStyle w:val="ListParagraph"/>
        <w:widowControl w:val="0"/>
        <w:numPr>
          <w:ilvl w:val="0"/>
          <w:numId w:val="8"/>
        </w:numPr>
        <w:spacing w:after="0"/>
        <w:contextualSpacing w:val="0"/>
      </w:pPr>
      <w:r>
        <w:rPr>
          <w:i/>
        </w:rPr>
        <w:t>OPS/</w:t>
      </w:r>
      <w:r w:rsidR="00DE4708" w:rsidRPr="00662446">
        <w:rPr>
          <w:i/>
        </w:rPr>
        <w:t>MRE</w:t>
      </w:r>
      <w:r>
        <w:rPr>
          <w:i/>
        </w:rPr>
        <w:t xml:space="preserve"> and</w:t>
      </w:r>
      <w:r w:rsidR="00DE4708" w:rsidRPr="00662446">
        <w:rPr>
          <w:i/>
        </w:rPr>
        <w:t xml:space="preserve">VA positions. </w:t>
      </w:r>
      <w:r w:rsidR="00DE4708" w:rsidRPr="006B5087">
        <w:t>The National Strategy provides for the recruitment of specific positions for MRE and VA. NMAC w</w:t>
      </w:r>
      <w:r w:rsidR="00DE4708">
        <w:t>ould</w:t>
      </w:r>
      <w:r w:rsidR="00DE4708" w:rsidRPr="006B5087">
        <w:t xml:space="preserve"> need to secure these positions within the national budget</w:t>
      </w:r>
      <w:r w:rsidR="00DE4708">
        <w:t xml:space="preserve"> or through a donor</w:t>
      </w:r>
      <w:r w:rsidR="00DE4708" w:rsidRPr="006B5087">
        <w:t xml:space="preserve">, and to recruit and hire them as a first step to achieving outcomes in those Strategic Objectives. </w:t>
      </w:r>
    </w:p>
    <w:p w:rsidR="00C274C2" w:rsidRDefault="00DE4708" w:rsidP="00C274C2">
      <w:pPr>
        <w:pStyle w:val="ListParagraph"/>
        <w:widowControl w:val="0"/>
        <w:numPr>
          <w:ilvl w:val="0"/>
          <w:numId w:val="8"/>
        </w:numPr>
        <w:contextualSpacing w:val="0"/>
      </w:pPr>
      <w:r w:rsidRPr="00662446">
        <w:rPr>
          <w:i/>
        </w:rPr>
        <w:t xml:space="preserve">Communications position. </w:t>
      </w:r>
      <w:r>
        <w:t>Thedraft action plan recommends that a c</w:t>
      </w:r>
      <w:r w:rsidRPr="006B5087">
        <w:t xml:space="preserve">ommunications position be created to </w:t>
      </w:r>
      <w:r>
        <w:t xml:space="preserve">specifically </w:t>
      </w:r>
      <w:r w:rsidRPr="006B5087">
        <w:t>address communications and outreach</w:t>
      </w:r>
      <w:r>
        <w:t xml:space="preserve"> responsibilities</w:t>
      </w:r>
      <w:r w:rsidRPr="006B5087">
        <w:t xml:space="preserve">, either through a direct hire or by allocating the time and responsibility within current NMAC staff. </w:t>
      </w:r>
      <w:r w:rsidR="00C274C2">
        <w:t>This position can also support the resource mobilization work undertaken at the level of the Director and Assistant Director of the NMAC.</w:t>
      </w:r>
    </w:p>
    <w:p w:rsidR="00DE4708" w:rsidRDefault="00DE4708" w:rsidP="00C26E34">
      <w:pPr>
        <w:pStyle w:val="Heading2"/>
      </w:pPr>
      <w:r w:rsidRPr="00F64801">
        <w:t>Conclusions and Recommendations for Next Steps</w:t>
      </w:r>
    </w:p>
    <w:p w:rsidR="00DE4708" w:rsidRDefault="00DE4708" w:rsidP="00DE4708">
      <w:r>
        <w:t xml:space="preserve">NMAC has a good sense of the role it needs to play in helping the Sri Lanka Mine Action sector to mobilize resources to </w:t>
      </w:r>
      <w:r w:rsidR="008523A5">
        <w:t>implement</w:t>
      </w:r>
      <w:r>
        <w:t xml:space="preserve"> the Sri Lanka National Mine Action Strategy, 2016 – 2020. While its role will focus less on getting actual money to the sector, it will play a critical role in communicating successes and challenges of the Sri Lanka mine action sector and coordinate the various stakeholders </w:t>
      </w:r>
      <w:r>
        <w:lastRenderedPageBreak/>
        <w:t xml:space="preserve">for the sector. In order to do so, it must have the human resources available to lead the sector and be able to achieve the </w:t>
      </w:r>
      <w:r w:rsidR="008523A5">
        <w:t>national strategic objectives</w:t>
      </w:r>
      <w:r>
        <w:t xml:space="preserve"> by 2020. </w:t>
      </w:r>
    </w:p>
    <w:p w:rsidR="00DE4708" w:rsidRPr="00DE3D83" w:rsidRDefault="00DE4708" w:rsidP="00037B0E">
      <w:pPr>
        <w:spacing w:after="0"/>
      </w:pPr>
      <w:r>
        <w:t>Recommend NMAC focus on the following next steps:</w:t>
      </w:r>
    </w:p>
    <w:p w:rsidR="00DE4708" w:rsidRDefault="00DE4708" w:rsidP="00DE4708">
      <w:pPr>
        <w:pStyle w:val="ListParagraph"/>
        <w:widowControl w:val="0"/>
        <w:numPr>
          <w:ilvl w:val="0"/>
          <w:numId w:val="5"/>
        </w:numPr>
      </w:pPr>
      <w:r>
        <w:t xml:space="preserve">NMAC </w:t>
      </w:r>
      <w:r w:rsidR="00037B0E">
        <w:t>internalize</w:t>
      </w:r>
      <w:r w:rsidR="003C3018">
        <w:t>s</w:t>
      </w:r>
      <w:r>
        <w:t>the Resource Mobilization Action Plan and begins implementation of the plan</w:t>
      </w:r>
    </w:p>
    <w:p w:rsidR="00037B0E" w:rsidRDefault="00037B0E" w:rsidP="00DE4708">
      <w:pPr>
        <w:pStyle w:val="ListParagraph"/>
        <w:widowControl w:val="0"/>
        <w:numPr>
          <w:ilvl w:val="0"/>
          <w:numId w:val="5"/>
        </w:numPr>
      </w:pPr>
      <w:r>
        <w:t>The recruitment of the suggested additional staff is critical for the plan to have a tangible impact</w:t>
      </w:r>
    </w:p>
    <w:p w:rsidR="00037B0E" w:rsidRDefault="00037B0E" w:rsidP="00DE4708">
      <w:pPr>
        <w:pStyle w:val="ListParagraph"/>
        <w:widowControl w:val="0"/>
        <w:numPr>
          <w:ilvl w:val="0"/>
          <w:numId w:val="5"/>
        </w:numPr>
      </w:pPr>
      <w:r>
        <w:t xml:space="preserve">The NMAC </w:t>
      </w:r>
      <w:r w:rsidR="00B67622">
        <w:t xml:space="preserve">Assistant </w:t>
      </w:r>
      <w:r>
        <w:t>Director leads the implementation of the plan</w:t>
      </w:r>
    </w:p>
    <w:p w:rsidR="00037B0E" w:rsidRDefault="00037B0E" w:rsidP="00DE4708">
      <w:pPr>
        <w:pStyle w:val="ListParagraph"/>
        <w:widowControl w:val="0"/>
        <w:numPr>
          <w:ilvl w:val="0"/>
          <w:numId w:val="5"/>
        </w:numPr>
      </w:pPr>
      <w:r>
        <w:t>The implementation of the plan is monitored quarter</w:t>
      </w:r>
      <w:r w:rsidR="00FA167E">
        <w:t>ly</w:t>
      </w:r>
      <w:r>
        <w:t xml:space="preserve"> at the Director’s level and </w:t>
      </w:r>
      <w:r w:rsidR="00FA167E">
        <w:t>annually</w:t>
      </w:r>
      <w:r>
        <w:t xml:space="preserve"> during the annual operational </w:t>
      </w:r>
      <w:r w:rsidR="00CE2D57">
        <w:t xml:space="preserve">committee </w:t>
      </w:r>
      <w:r>
        <w:t>meeting</w:t>
      </w:r>
    </w:p>
    <w:p w:rsidR="001117CB" w:rsidRDefault="00037B0E">
      <w:r>
        <w:t xml:space="preserve">Operators and stakeholders should collaborate closely with NMAC </w:t>
      </w:r>
      <w:r w:rsidR="00CE2D57">
        <w:t xml:space="preserve">on </w:t>
      </w:r>
      <w:r>
        <w:t>the implementation of the plan</w:t>
      </w:r>
    </w:p>
    <w:sectPr w:rsidR="001117CB" w:rsidSect="002238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B8B" w:rsidRDefault="00432B8B" w:rsidP="0037047F">
      <w:pPr>
        <w:spacing w:after="0" w:line="240" w:lineRule="auto"/>
      </w:pPr>
      <w:r>
        <w:separator/>
      </w:r>
    </w:p>
  </w:endnote>
  <w:endnote w:type="continuationSeparator" w:id="1">
    <w:p w:rsidR="00432B8B" w:rsidRDefault="00432B8B" w:rsidP="003704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E4" w:rsidRDefault="00DD03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E4" w:rsidRDefault="00DD03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E4" w:rsidRDefault="00DD0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B8B" w:rsidRDefault="00432B8B" w:rsidP="0037047F">
      <w:pPr>
        <w:spacing w:after="0" w:line="240" w:lineRule="auto"/>
      </w:pPr>
      <w:r>
        <w:separator/>
      </w:r>
    </w:p>
  </w:footnote>
  <w:footnote w:type="continuationSeparator" w:id="1">
    <w:p w:rsidR="00432B8B" w:rsidRDefault="00432B8B" w:rsidP="0037047F">
      <w:pPr>
        <w:spacing w:after="0" w:line="240" w:lineRule="auto"/>
      </w:pPr>
      <w:r>
        <w:continuationSeparator/>
      </w:r>
    </w:p>
  </w:footnote>
  <w:footnote w:id="2">
    <w:p w:rsidR="0037047F" w:rsidRPr="004235C2" w:rsidRDefault="0037047F" w:rsidP="0037047F">
      <w:pPr>
        <w:pStyle w:val="FootnoteText"/>
        <w:rPr>
          <w:rFonts w:ascii="Arial" w:hAnsi="Arial" w:cs="Arial"/>
        </w:rPr>
      </w:pPr>
      <w:r w:rsidRPr="004235C2">
        <w:rPr>
          <w:rStyle w:val="FootnoteReference"/>
          <w:rFonts w:ascii="Arial" w:hAnsi="Arial" w:cs="Arial"/>
        </w:rPr>
        <w:footnoteRef/>
      </w:r>
      <w:r w:rsidRPr="004235C2">
        <w:rPr>
          <w:rFonts w:ascii="Arial" w:hAnsi="Arial" w:cs="Arial"/>
        </w:rPr>
        <w:t xml:space="preserve"> Cabinet Memorandum, 10 March 2015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E4" w:rsidRDefault="00DD03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BDB" w:rsidRDefault="00140BDB" w:rsidP="00140BDB">
    <w:pPr>
      <w:pStyle w:val="Header"/>
      <w:tabs>
        <w:tab w:val="clear" w:pos="4680"/>
        <w:tab w:val="clear" w:pos="9360"/>
        <w:tab w:val="left" w:pos="1890"/>
      </w:tabs>
    </w:pPr>
    <w:r>
      <w:rPr>
        <w:noProof/>
      </w:rPr>
      <w:drawing>
        <wp:anchor distT="0" distB="0" distL="114300" distR="114300" simplePos="0" relativeHeight="251657216" behindDoc="1" locked="0" layoutInCell="1" allowOverlap="1">
          <wp:simplePos x="0" y="0"/>
          <wp:positionH relativeFrom="column">
            <wp:posOffset>0</wp:posOffset>
          </wp:positionH>
          <wp:positionV relativeFrom="page">
            <wp:posOffset>448945</wp:posOffset>
          </wp:positionV>
          <wp:extent cx="1404620" cy="57467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4620" cy="574675"/>
                  </a:xfrm>
                  <a:prstGeom prst="rect">
                    <a:avLst/>
                  </a:prstGeom>
                  <a:noFill/>
                  <a:ln>
                    <a:noFill/>
                  </a:ln>
                </pic:spPr>
              </pic:pic>
            </a:graphicData>
          </a:graphic>
        </wp:anchor>
      </w:drawing>
    </w:r>
    <w:r>
      <w:tab/>
    </w:r>
    <w:r>
      <w:tab/>
    </w:r>
    <w:r>
      <w:tab/>
    </w:r>
    <w:r>
      <w:tab/>
    </w:r>
    <w:r>
      <w:tab/>
    </w:r>
    <w:r>
      <w:tab/>
    </w:r>
    <w:r>
      <w:tab/>
    </w:r>
    <w:r>
      <w:tab/>
    </w:r>
    <w:r>
      <w:tab/>
    </w:r>
    <w:r>
      <w:tab/>
    </w:r>
    <w:r w:rsidRPr="0080260F">
      <w:rPr>
        <w:rFonts w:cs="Arial"/>
        <w:b/>
        <w:noProof/>
        <w:sz w:val="54"/>
        <w:szCs w:val="54"/>
      </w:rPr>
      <w:drawing>
        <wp:inline distT="0" distB="0" distL="0" distR="0">
          <wp:extent cx="666750" cy="79740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H="1">
                    <a:off x="0" y="0"/>
                    <a:ext cx="694775" cy="830922"/>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E4" w:rsidRDefault="00DD03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6E9"/>
    <w:multiLevelType w:val="hybridMultilevel"/>
    <w:tmpl w:val="BB7860CC"/>
    <w:lvl w:ilvl="0" w:tplc="100C000F">
      <w:start w:val="1"/>
      <w:numFmt w:val="decimal"/>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
    <w:nsid w:val="08FD0DF0"/>
    <w:multiLevelType w:val="multilevel"/>
    <w:tmpl w:val="5972C1E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7941211"/>
    <w:multiLevelType w:val="hybridMultilevel"/>
    <w:tmpl w:val="C15A314A"/>
    <w:lvl w:ilvl="0" w:tplc="3BBADB48">
      <w:start w:val="1"/>
      <w:numFmt w:val="decimal"/>
      <w:pStyle w:val="Heading2"/>
      <w:lvlText w:val="%1."/>
      <w:lvlJc w:val="left"/>
      <w:pPr>
        <w:ind w:left="720" w:hanging="360"/>
      </w:pPr>
    </w:lvl>
    <w:lvl w:ilvl="1" w:tplc="296EB92E">
      <w:start w:val="1"/>
      <w:numFmt w:val="decimal"/>
      <w:lvlText w:val="%2)"/>
      <w:lvlJc w:val="left"/>
      <w:pPr>
        <w:ind w:left="1995" w:hanging="915"/>
      </w:pPr>
      <w:rPr>
        <w:rFonts w:eastAsiaTheme="minorEastAsia"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CCC0D42"/>
    <w:multiLevelType w:val="hybridMultilevel"/>
    <w:tmpl w:val="B832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66A08"/>
    <w:multiLevelType w:val="hybridMultilevel"/>
    <w:tmpl w:val="4A702C1C"/>
    <w:lvl w:ilvl="0" w:tplc="040C0017">
      <w:start w:val="1"/>
      <w:numFmt w:val="lowerLetter"/>
      <w:lvlText w:val="%1)"/>
      <w:lvlJc w:val="left"/>
      <w:pPr>
        <w:ind w:left="1068" w:hanging="360"/>
      </w:p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5C5A3DAC"/>
    <w:multiLevelType w:val="hybridMultilevel"/>
    <w:tmpl w:val="ADFC47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E32840"/>
    <w:multiLevelType w:val="hybridMultilevel"/>
    <w:tmpl w:val="C67A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A405B3"/>
    <w:multiLevelType w:val="hybridMultilevel"/>
    <w:tmpl w:val="BFF8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9726A6"/>
    <w:multiLevelType w:val="hybridMultilevel"/>
    <w:tmpl w:val="B1D4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7D6E99"/>
    <w:multiLevelType w:val="hybridMultilevel"/>
    <w:tmpl w:val="D8FCE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E76907"/>
    <w:multiLevelType w:val="hybridMultilevel"/>
    <w:tmpl w:val="E5580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10"/>
  </w:num>
  <w:num w:numId="6">
    <w:abstractNumId w:val="9"/>
  </w:num>
  <w:num w:numId="7">
    <w:abstractNumId w:val="7"/>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E4708"/>
    <w:rsid w:val="00037B0E"/>
    <w:rsid w:val="000476A4"/>
    <w:rsid w:val="00065F2B"/>
    <w:rsid w:val="000967BA"/>
    <w:rsid w:val="000A3B63"/>
    <w:rsid w:val="00112E85"/>
    <w:rsid w:val="00136B76"/>
    <w:rsid w:val="00140BDB"/>
    <w:rsid w:val="00215207"/>
    <w:rsid w:val="002238BF"/>
    <w:rsid w:val="00234C90"/>
    <w:rsid w:val="00283E33"/>
    <w:rsid w:val="002E4536"/>
    <w:rsid w:val="00324201"/>
    <w:rsid w:val="0037047F"/>
    <w:rsid w:val="00382C37"/>
    <w:rsid w:val="003C3018"/>
    <w:rsid w:val="003C5FEE"/>
    <w:rsid w:val="00432B8B"/>
    <w:rsid w:val="00483AA3"/>
    <w:rsid w:val="004B1FCF"/>
    <w:rsid w:val="00512990"/>
    <w:rsid w:val="0052706F"/>
    <w:rsid w:val="00570107"/>
    <w:rsid w:val="00594876"/>
    <w:rsid w:val="005E2333"/>
    <w:rsid w:val="00652BDF"/>
    <w:rsid w:val="0066437A"/>
    <w:rsid w:val="00686D33"/>
    <w:rsid w:val="006F053F"/>
    <w:rsid w:val="007977EC"/>
    <w:rsid w:val="007C0983"/>
    <w:rsid w:val="007C3DB0"/>
    <w:rsid w:val="007D0C8C"/>
    <w:rsid w:val="0085202D"/>
    <w:rsid w:val="008523A5"/>
    <w:rsid w:val="008611B1"/>
    <w:rsid w:val="0089743C"/>
    <w:rsid w:val="00897562"/>
    <w:rsid w:val="008A1DC7"/>
    <w:rsid w:val="009043B3"/>
    <w:rsid w:val="0095320D"/>
    <w:rsid w:val="00964FF0"/>
    <w:rsid w:val="00970F96"/>
    <w:rsid w:val="00AD6621"/>
    <w:rsid w:val="00AE7946"/>
    <w:rsid w:val="00B5623A"/>
    <w:rsid w:val="00B63E64"/>
    <w:rsid w:val="00B67622"/>
    <w:rsid w:val="00BA7B27"/>
    <w:rsid w:val="00C26E34"/>
    <w:rsid w:val="00C274C2"/>
    <w:rsid w:val="00C5439E"/>
    <w:rsid w:val="00C70F09"/>
    <w:rsid w:val="00C7514F"/>
    <w:rsid w:val="00C949AF"/>
    <w:rsid w:val="00CD153C"/>
    <w:rsid w:val="00CD5243"/>
    <w:rsid w:val="00CE2D57"/>
    <w:rsid w:val="00D32243"/>
    <w:rsid w:val="00DA32CC"/>
    <w:rsid w:val="00DD03E4"/>
    <w:rsid w:val="00DE343B"/>
    <w:rsid w:val="00DE4708"/>
    <w:rsid w:val="00E14F95"/>
    <w:rsid w:val="00E4361E"/>
    <w:rsid w:val="00E64FF3"/>
    <w:rsid w:val="00E74888"/>
    <w:rsid w:val="00E84E9C"/>
    <w:rsid w:val="00E86182"/>
    <w:rsid w:val="00ED25F7"/>
    <w:rsid w:val="00F1573C"/>
    <w:rsid w:val="00F27B34"/>
    <w:rsid w:val="00F4169A"/>
    <w:rsid w:val="00FA16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708"/>
    <w:pPr>
      <w:spacing w:after="200" w:line="276" w:lineRule="auto"/>
    </w:pPr>
    <w:rPr>
      <w:lang w:val="en-US"/>
    </w:rPr>
  </w:style>
  <w:style w:type="paragraph" w:styleId="Heading1">
    <w:name w:val="heading 1"/>
    <w:basedOn w:val="Normal"/>
    <w:next w:val="Normal"/>
    <w:link w:val="Heading1Char"/>
    <w:uiPriority w:val="9"/>
    <w:qFormat/>
    <w:rsid w:val="00DE4708"/>
    <w:pPr>
      <w:keepNext/>
      <w:keepLines/>
      <w:spacing w:before="480" w:after="240"/>
      <w:outlineLvl w:val="0"/>
    </w:pPr>
    <w:rPr>
      <w:rFonts w:asciiTheme="majorHAnsi" w:eastAsiaTheme="majorEastAsia" w:hAnsiTheme="majorHAnsi" w:cstheme="majorBidi"/>
      <w:b/>
      <w:bCs/>
      <w:color w:val="808080" w:themeColor="background1" w:themeShade="80"/>
      <w:sz w:val="32"/>
      <w:szCs w:val="28"/>
    </w:rPr>
  </w:style>
  <w:style w:type="paragraph" w:styleId="Heading2">
    <w:name w:val="heading 2"/>
    <w:basedOn w:val="Normal"/>
    <w:next w:val="Normal"/>
    <w:link w:val="Heading2Char"/>
    <w:autoRedefine/>
    <w:uiPriority w:val="9"/>
    <w:unhideWhenUsed/>
    <w:qFormat/>
    <w:rsid w:val="00C26E34"/>
    <w:pPr>
      <w:keepNext/>
      <w:numPr>
        <w:numId w:val="10"/>
      </w:numPr>
      <w:spacing w:before="200" w:after="0"/>
      <w:outlineLvl w:val="1"/>
    </w:pPr>
    <w:rPr>
      <w:rFonts w:asciiTheme="majorHAnsi" w:eastAsiaTheme="minorEastAsia" w:hAnsiTheme="majorHAnsi" w:cstheme="majorBidi"/>
      <w:b/>
      <w:bCs/>
    </w:rPr>
  </w:style>
  <w:style w:type="paragraph" w:styleId="Heading3">
    <w:name w:val="heading 3"/>
    <w:basedOn w:val="Normal"/>
    <w:next w:val="Normal"/>
    <w:link w:val="Heading3Char"/>
    <w:uiPriority w:val="9"/>
    <w:unhideWhenUsed/>
    <w:qFormat/>
    <w:rsid w:val="003704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E4708"/>
    <w:pPr>
      <w:keepNext/>
      <w:keepLines/>
      <w:numPr>
        <w:ilvl w:val="2"/>
        <w:numId w:val="1"/>
      </w:numPr>
      <w:spacing w:before="200" w:after="0"/>
      <w:outlineLvl w:val="3"/>
    </w:pPr>
    <w:rPr>
      <w:rFonts w:asciiTheme="majorHAnsi" w:eastAsiaTheme="majorEastAsia" w:hAnsiTheme="majorHAnsi" w:cstheme="majorBidi"/>
      <w:b/>
      <w:bCs/>
      <w:i/>
      <w:iCs/>
      <w:color w:val="808080" w:themeColor="background1" w:themeShade="80"/>
    </w:rPr>
  </w:style>
  <w:style w:type="paragraph" w:styleId="Heading5">
    <w:name w:val="heading 5"/>
    <w:basedOn w:val="Normal"/>
    <w:next w:val="Normal"/>
    <w:link w:val="Heading5Char"/>
    <w:uiPriority w:val="9"/>
    <w:unhideWhenUsed/>
    <w:qFormat/>
    <w:rsid w:val="00DE4708"/>
    <w:pPr>
      <w:keepNext/>
      <w:keepLines/>
      <w:numPr>
        <w:ilvl w:val="3"/>
        <w:numId w:val="1"/>
      </w:numPr>
      <w:spacing w:before="200" w:after="0"/>
      <w:outlineLvl w:val="4"/>
    </w:pPr>
    <w:rPr>
      <w:rFonts w:asciiTheme="majorHAnsi" w:eastAsiaTheme="majorEastAsia" w:hAnsiTheme="majorHAnsi" w:cstheme="majorBidi"/>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708"/>
    <w:rPr>
      <w:rFonts w:asciiTheme="majorHAnsi" w:eastAsiaTheme="majorEastAsia" w:hAnsiTheme="majorHAnsi" w:cstheme="majorBidi"/>
      <w:b/>
      <w:bCs/>
      <w:color w:val="808080" w:themeColor="background1" w:themeShade="80"/>
      <w:sz w:val="32"/>
      <w:szCs w:val="28"/>
      <w:lang w:val="en-US"/>
    </w:rPr>
  </w:style>
  <w:style w:type="character" w:customStyle="1" w:styleId="Heading2Char">
    <w:name w:val="Heading 2 Char"/>
    <w:basedOn w:val="DefaultParagraphFont"/>
    <w:link w:val="Heading2"/>
    <w:uiPriority w:val="9"/>
    <w:rsid w:val="00C26E34"/>
    <w:rPr>
      <w:rFonts w:asciiTheme="majorHAnsi" w:eastAsiaTheme="minorEastAsia" w:hAnsiTheme="majorHAnsi" w:cstheme="majorBidi"/>
      <w:b/>
      <w:bCs/>
      <w:lang w:val="en-US"/>
    </w:rPr>
  </w:style>
  <w:style w:type="character" w:customStyle="1" w:styleId="Heading4Char">
    <w:name w:val="Heading 4 Char"/>
    <w:basedOn w:val="DefaultParagraphFont"/>
    <w:link w:val="Heading4"/>
    <w:uiPriority w:val="9"/>
    <w:rsid w:val="00DE4708"/>
    <w:rPr>
      <w:rFonts w:asciiTheme="majorHAnsi" w:eastAsiaTheme="majorEastAsia" w:hAnsiTheme="majorHAnsi" w:cstheme="majorBidi"/>
      <w:b/>
      <w:bCs/>
      <w:i/>
      <w:iCs/>
      <w:color w:val="808080" w:themeColor="background1" w:themeShade="80"/>
      <w:lang w:val="en-US"/>
    </w:rPr>
  </w:style>
  <w:style w:type="character" w:customStyle="1" w:styleId="Heading5Char">
    <w:name w:val="Heading 5 Char"/>
    <w:basedOn w:val="DefaultParagraphFont"/>
    <w:link w:val="Heading5"/>
    <w:uiPriority w:val="9"/>
    <w:rsid w:val="00DE4708"/>
    <w:rPr>
      <w:rFonts w:asciiTheme="majorHAnsi" w:eastAsiaTheme="majorEastAsia" w:hAnsiTheme="majorHAnsi" w:cstheme="majorBidi"/>
      <w:color w:val="808080" w:themeColor="background1" w:themeShade="80"/>
      <w:lang w:val="en-US"/>
    </w:rPr>
  </w:style>
  <w:style w:type="paragraph" w:styleId="ListParagraph">
    <w:name w:val="List Paragraph"/>
    <w:basedOn w:val="Normal"/>
    <w:uiPriority w:val="34"/>
    <w:qFormat/>
    <w:rsid w:val="00DE4708"/>
    <w:pPr>
      <w:ind w:left="720"/>
      <w:contextualSpacing/>
    </w:pPr>
  </w:style>
  <w:style w:type="paragraph" w:customStyle="1" w:styleId="Heading11">
    <w:name w:val="Heading 11"/>
    <w:basedOn w:val="Heading1"/>
    <w:next w:val="Normal"/>
    <w:qFormat/>
    <w:rsid w:val="00F1573C"/>
    <w:pPr>
      <w:spacing w:line="240" w:lineRule="auto"/>
    </w:pPr>
    <w:rPr>
      <w:rFonts w:ascii="Arial" w:eastAsia="MS PGothic" w:hAnsi="Arial" w:cs="Times New Roman"/>
      <w:color w:val="C20032"/>
      <w:sz w:val="34"/>
      <w:szCs w:val="34"/>
      <w:lang w:val="en-GB" w:eastAsia="de-DE"/>
    </w:rPr>
  </w:style>
  <w:style w:type="character" w:customStyle="1" w:styleId="Heading3Char">
    <w:name w:val="Heading 3 Char"/>
    <w:basedOn w:val="DefaultParagraphFont"/>
    <w:link w:val="Heading3"/>
    <w:uiPriority w:val="9"/>
    <w:rsid w:val="0037047F"/>
    <w:rPr>
      <w:rFonts w:asciiTheme="majorHAnsi" w:eastAsiaTheme="majorEastAsia" w:hAnsiTheme="majorHAnsi" w:cstheme="majorBidi"/>
      <w:color w:val="1F4D78" w:themeColor="accent1" w:themeShade="7F"/>
      <w:sz w:val="24"/>
      <w:szCs w:val="24"/>
      <w:lang w:val="en-US"/>
    </w:rPr>
  </w:style>
  <w:style w:type="paragraph" w:customStyle="1" w:styleId="Heading21">
    <w:name w:val="Heading 21"/>
    <w:basedOn w:val="Heading3"/>
    <w:next w:val="Normal"/>
    <w:qFormat/>
    <w:rsid w:val="0037047F"/>
    <w:pPr>
      <w:spacing w:before="320" w:after="240" w:line="240" w:lineRule="auto"/>
    </w:pPr>
    <w:rPr>
      <w:rFonts w:ascii="Arial" w:eastAsia="MS PGothic" w:hAnsi="Arial" w:cs="Calibri"/>
      <w:b/>
      <w:color w:val="C20032"/>
      <w:sz w:val="26"/>
      <w:szCs w:val="26"/>
      <w:lang w:val="en-GB" w:eastAsia="de-DE"/>
    </w:rPr>
  </w:style>
  <w:style w:type="paragraph" w:styleId="FootnoteText">
    <w:name w:val="footnote text"/>
    <w:aliases w:val="Footnote Text Char1,LM Footnote Char,LM Note de bas de page Char,Note de bas de page LM Char,LM footnote Char,Footnote Text Char Char Char1,Footnote Text Char Char Char Char,Footnote Text Char Char1,Footnote Text LM Char Char Char,fn"/>
    <w:basedOn w:val="Normal"/>
    <w:link w:val="FootnoteTextChar"/>
    <w:uiPriority w:val="99"/>
    <w:unhideWhenUsed/>
    <w:rsid w:val="0037047F"/>
    <w:pPr>
      <w:spacing w:after="0" w:line="240" w:lineRule="auto"/>
    </w:pPr>
    <w:rPr>
      <w:rFonts w:ascii="Calibri" w:eastAsia="Calibri" w:hAnsi="Calibri" w:cs="Times New Roman"/>
      <w:sz w:val="20"/>
      <w:szCs w:val="20"/>
      <w:lang w:val="en-GB"/>
    </w:rPr>
  </w:style>
  <w:style w:type="character" w:customStyle="1" w:styleId="FootnoteTextChar">
    <w:name w:val="Footnote Text Char"/>
    <w:aliases w:val="Footnote Text Char1 Char,LM Footnote Char Char,LM Note de bas de page Char Char,Note de bas de page LM Char Char,LM footnote Char Char,Footnote Text Char Char Char1 Char,Footnote Text Char Char Char Char Char,fn Char"/>
    <w:basedOn w:val="DefaultParagraphFont"/>
    <w:link w:val="FootnoteText"/>
    <w:uiPriority w:val="99"/>
    <w:rsid w:val="0037047F"/>
    <w:rPr>
      <w:rFonts w:ascii="Calibri" w:eastAsia="Calibri" w:hAnsi="Calibri" w:cs="Times New Roman"/>
      <w:sz w:val="20"/>
      <w:szCs w:val="20"/>
      <w:lang w:val="en-GB"/>
    </w:rPr>
  </w:style>
  <w:style w:type="character" w:styleId="FootnoteReference">
    <w:name w:val="footnote reference"/>
    <w:aliases w:val="16 Point,Superscript 6 Point,Footnote Reference Char Char Char Char Char Char Char Char Char Char Char"/>
    <w:basedOn w:val="DefaultParagraphFont"/>
    <w:uiPriority w:val="99"/>
    <w:semiHidden/>
    <w:unhideWhenUsed/>
    <w:rsid w:val="0037047F"/>
    <w:rPr>
      <w:vertAlign w:val="superscript"/>
    </w:rPr>
  </w:style>
  <w:style w:type="paragraph" w:styleId="BalloonText">
    <w:name w:val="Balloon Text"/>
    <w:basedOn w:val="Normal"/>
    <w:link w:val="BalloonTextChar"/>
    <w:uiPriority w:val="99"/>
    <w:semiHidden/>
    <w:unhideWhenUsed/>
    <w:rsid w:val="005E2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333"/>
    <w:rPr>
      <w:rFonts w:ascii="Tahoma" w:hAnsi="Tahoma" w:cs="Tahoma"/>
      <w:sz w:val="16"/>
      <w:szCs w:val="16"/>
      <w:lang w:val="en-US"/>
    </w:rPr>
  </w:style>
  <w:style w:type="character" w:styleId="CommentReference">
    <w:name w:val="annotation reference"/>
    <w:basedOn w:val="DefaultParagraphFont"/>
    <w:uiPriority w:val="99"/>
    <w:semiHidden/>
    <w:unhideWhenUsed/>
    <w:rsid w:val="00C7514F"/>
    <w:rPr>
      <w:sz w:val="16"/>
      <w:szCs w:val="16"/>
    </w:rPr>
  </w:style>
  <w:style w:type="paragraph" w:styleId="CommentText">
    <w:name w:val="annotation text"/>
    <w:basedOn w:val="Normal"/>
    <w:link w:val="CommentTextChar"/>
    <w:uiPriority w:val="99"/>
    <w:semiHidden/>
    <w:unhideWhenUsed/>
    <w:rsid w:val="00C7514F"/>
    <w:pPr>
      <w:spacing w:line="240" w:lineRule="auto"/>
    </w:pPr>
    <w:rPr>
      <w:sz w:val="20"/>
      <w:szCs w:val="20"/>
    </w:rPr>
  </w:style>
  <w:style w:type="character" w:customStyle="1" w:styleId="CommentTextChar">
    <w:name w:val="Comment Text Char"/>
    <w:basedOn w:val="DefaultParagraphFont"/>
    <w:link w:val="CommentText"/>
    <w:uiPriority w:val="99"/>
    <w:semiHidden/>
    <w:rsid w:val="00C7514F"/>
    <w:rPr>
      <w:sz w:val="20"/>
      <w:szCs w:val="20"/>
      <w:lang w:val="en-US"/>
    </w:rPr>
  </w:style>
  <w:style w:type="paragraph" w:styleId="CommentSubject">
    <w:name w:val="annotation subject"/>
    <w:basedOn w:val="CommentText"/>
    <w:next w:val="CommentText"/>
    <w:link w:val="CommentSubjectChar"/>
    <w:uiPriority w:val="99"/>
    <w:semiHidden/>
    <w:unhideWhenUsed/>
    <w:rsid w:val="00C7514F"/>
    <w:rPr>
      <w:b/>
      <w:bCs/>
    </w:rPr>
  </w:style>
  <w:style w:type="character" w:customStyle="1" w:styleId="CommentSubjectChar">
    <w:name w:val="Comment Subject Char"/>
    <w:basedOn w:val="CommentTextChar"/>
    <w:link w:val="CommentSubject"/>
    <w:uiPriority w:val="99"/>
    <w:semiHidden/>
    <w:rsid w:val="00C7514F"/>
    <w:rPr>
      <w:b/>
      <w:bCs/>
      <w:sz w:val="20"/>
      <w:szCs w:val="20"/>
      <w:lang w:val="en-US"/>
    </w:rPr>
  </w:style>
  <w:style w:type="paragraph" w:styleId="Header">
    <w:name w:val="header"/>
    <w:basedOn w:val="Normal"/>
    <w:link w:val="HeaderChar"/>
    <w:uiPriority w:val="99"/>
    <w:unhideWhenUsed/>
    <w:rsid w:val="00140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DB"/>
    <w:rPr>
      <w:lang w:val="en-US"/>
    </w:rPr>
  </w:style>
  <w:style w:type="paragraph" w:styleId="Footer">
    <w:name w:val="footer"/>
    <w:basedOn w:val="Normal"/>
    <w:link w:val="FooterChar"/>
    <w:uiPriority w:val="99"/>
    <w:unhideWhenUsed/>
    <w:rsid w:val="00140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DB"/>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F9315-65BA-4E1A-B3FE-51B8F090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2224</Words>
  <Characters>12681</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Lithium-1</cp:lastModifiedBy>
  <cp:revision>2</cp:revision>
  <cp:lastPrinted>2016-02-15T09:40:00Z</cp:lastPrinted>
  <dcterms:created xsi:type="dcterms:W3CDTF">2016-03-16T05:19:00Z</dcterms:created>
  <dcterms:modified xsi:type="dcterms:W3CDTF">2016-03-16T05:19:00Z</dcterms:modified>
</cp:coreProperties>
</file>